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QuantAlpha Tearsheet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Complete Analysis &amp; Interpretation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Every chart and table from the tearsheet, with full explanation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Diego Mella Valerio  |  June 2026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to Read This Document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reproduces and explains all six pages of the QuantAlpha tearsheet. Each page image is shown, followed by a plain-language explanation of what the chart or table displays, how it was computed, and what the specific numbers mean. Every metric is defined the first time it appears.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performance figures refer to the cross-sectional momentum strategy (long the strongest assets, short the weakest, rebalanced monthly across a 56-asset universe) unless stated otherwise.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Page 1 — Equity Curves &amp; Performance Tables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Tearsheet Page 1 — equity curves, drawdown, and performance/tail-risk tables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Equity Curve (top chart)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Plots the growth of $1 invested at the start of 2015, compounding daily. Momentum L/S (blue) ended near 2.46x; the Equal-Weight B&amp;H benchmark (orange) ended near 6.79x. The benchmark outpaced the strategy because the equal-weight basket is dominated by extraordinary individual stocks (NVDA, META, AAPL). Against the S&amp;P 500 alone (~12%/yr) the strategy is far more competitive, and its line is visibly smoother.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Drawdown Chart (bottom chart)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drawdown is the percentage fall from the highest previous portfolio value. The deepest troughs cluster around early 2020 (COVID) and 2022 (rate hikes) — exactly when momentum strategies suffer, because sharp reversals whipsaw a trend-following signal. Drawdown is the most psychologically important risk measure because it represents real investor pain.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Summary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CAGR (Compound Annual Growth Rate): </w:t>
      </w:r>
      <w:r>
        <w:rPr>
          <w:rFonts w:ascii="Arial" w:cs="Arial" w:eastAsia="Arial" w:hAnsi="Arial"/>
          <w:sz w:val="22"/>
          <w:szCs w:val="22"/>
        </w:rPr>
        <w:t xml:space="preserve">the smoothed annual return. 9.08% vs 20.27% benchmark.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Sharpe Ratio: </w:t>
      </w:r>
      <w:r>
        <w:rPr>
          <w:rFonts w:ascii="Arial" w:cs="Arial" w:eastAsia="Arial" w:hAnsi="Arial"/>
          <w:sz w:val="22"/>
          <w:szCs w:val="22"/>
        </w:rPr>
        <w:t xml:space="preserve">return per unit of volatility. 0.55 vs 1.19. Below 0.5 weak, 0.5–1.0 acceptable, above 1.0 good.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Drawdown: </w:t>
      </w:r>
      <w:r>
        <w:rPr>
          <w:rFonts w:ascii="Arial" w:cs="Arial" w:eastAsia="Arial" w:hAnsi="Arial"/>
          <w:sz w:val="22"/>
          <w:szCs w:val="22"/>
        </w:rPr>
        <w:t xml:space="preserve">worst peak-to-trough loss. −25.94% vs −28.20% — the strategy's key win.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Annualized Volatility: </w:t>
      </w:r>
      <w:r>
        <w:rPr>
          <w:rFonts w:ascii="Arial" w:cs="Arial" w:eastAsia="Arial" w:hAnsi="Arial"/>
          <w:sz w:val="22"/>
          <w:szCs w:val="22"/>
        </w:rPr>
        <w:t xml:space="preserve">how much returns fluctuate yearly. 19.08% vs 16.70%.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Calmar Ratio: </w:t>
      </w:r>
      <w:r>
        <w:rPr>
          <w:rFonts w:ascii="Arial" w:cs="Arial" w:eastAsia="Arial" w:hAnsi="Arial"/>
          <w:sz w:val="22"/>
          <w:szCs w:val="22"/>
        </w:rPr>
        <w:t xml:space="preserve">CAGR ÷ max drawdown. 0.35 vs 0.72. Above 1.0 is strong.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Tail Risk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 95% −2.00%: </w:t>
      </w:r>
      <w:r>
        <w:rPr>
          <w:rFonts w:ascii="Arial" w:cs="Arial" w:eastAsia="Arial" w:hAnsi="Arial"/>
          <w:sz w:val="22"/>
          <w:szCs w:val="22"/>
        </w:rPr>
        <w:t xml:space="preserve">on 95% of days the strategy loses less than 2% — the daily risk budget.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 99% −3.43%: </w:t>
      </w:r>
      <w:r>
        <w:rPr>
          <w:rFonts w:ascii="Arial" w:cs="Arial" w:eastAsia="Arial" w:hAnsi="Arial"/>
          <w:sz w:val="22"/>
          <w:szCs w:val="22"/>
        </w:rPr>
        <w:t xml:space="preserve">only 1 day in 100 should be worse.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CVaR 95% −2.89%: </w:t>
      </w:r>
      <w:r>
        <w:rPr>
          <w:rFonts w:ascii="Arial" w:cs="Arial" w:eastAsia="Arial" w:hAnsi="Arial"/>
          <w:sz w:val="22"/>
          <w:szCs w:val="22"/>
        </w:rPr>
        <w:t xml:space="preserve">average loss on the worst 5% of days — the Expected Shortfall, always worse than VaR.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CVaR 99% −4.31%: </w:t>
      </w:r>
      <w:r>
        <w:rPr>
          <w:rFonts w:ascii="Arial" w:cs="Arial" w:eastAsia="Arial" w:hAnsi="Arial"/>
          <w:sz w:val="22"/>
          <w:szCs w:val="22"/>
        </w:rPr>
        <w:t xml:space="preserve">average loss on the very worst 1% of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Skewness −0.42: </w:t>
      </w:r>
      <w:r>
        <w:rPr>
          <w:rFonts w:ascii="Arial" w:cs="Arial" w:eastAsia="Arial" w:hAnsi="Arial"/>
          <w:sz w:val="22"/>
          <w:szCs w:val="22"/>
        </w:rPr>
        <w:t xml:space="preserve">slight lean toward large losses, typical of momentum.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Kurtosis 2.77: </w:t>
      </w:r>
      <w:r>
        <w:rPr>
          <w:rFonts w:ascii="Arial" w:cs="Arial" w:eastAsia="Arial" w:hAnsi="Arial"/>
          <w:sz w:val="22"/>
          <w:szCs w:val="22"/>
        </w:rPr>
        <w:t xml:space="preserve">fat tails — extreme days happen more often than a normal curve predicts.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Page 2 — Rolling Risk Metrics (1-Year Window)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65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Tearsheet Page 2 — rolling Sharpe, volatility, VaR/CVaR and drawdown over time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Page 1 shows single numbers for the whole period; page 2 shows how each evolved over a moving one-year window, revealing regime changes a single average hides.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Rolling Sharpe (panel 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Risk-adjusted return year by year. Green dashed line = Sharpe 1.0 (institutional target). Peaks of 2.0+ in 2017 and 2024 mark strong momentum regimes; it falls below zero in the 2020 COVID reversal and the 2022 rate-hike cycle. This swing is the defining feature of momentum.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Rolling Volatility (panel 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spike to ~30% in 2020 shows how risk surged during COVID. The normal range is 15–22%. Calm periods followed by violent ones (volatility clustering) are visible throughout.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Rolling VaR &amp; CVaR (panel 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widen sharply in 2020 (CVaR near −4%), showing the risk model detected the regime change in real time. The gap between the solid VaR and dashed CVaR lines measures tail heaviness.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Drawdown (panel 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same drawdown series aligned in time with the panels above, so the deep 2022–2023 drawdown can be seen coinciding with sub-zero rolling Sharpe and elevated VaR.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Page 3 — Portfolio Optimization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Tearsheet Page 3 — risk parity vs mean-variance weights, comparison table and notes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page demonstrates two classic portfolio-construction methods on a 10-asset ETF subset, showing how the same assets produce very different portfolios depending on the objective.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Risk Parity Weights (left)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Allocates so each asset contributes equal risk, not equal capital. Weight is inversely proportional to volatility, so low-vol assets dominate: HYG (high-yield bonds) and IEF (Treasuries) receive the most, volatile USO (oil) the least. This is the logic behind Bridgewater's All Weather fund.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Max Sharpe Weights (right)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Mean-variance optimization seeks the single highest-Sharpe mix. It concentrates in recent best performers (QQQ, VNQ, EEM, USO hit the 20% cap). This concentration is the well-known weakness of the method — it over-fits to recent history.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Weight Comparison &amp; Limitation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two schemes differ sharply — GLD, HYG and IEF receive meaningful risk-parity weight but 0% from the Sharpe optimizer. Both use in-sample data, so out-of-sample performance typically degrades; production use needs rolling re-estimation and shrinkage.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Page 4 — Full Risk Report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Tearsheet Page 4 — complete risk metrics table and return distribution vs normal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Complete Risk Metrics (left)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Consolidates every metric into one institutional-style report. Additional items beyond page 1: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Return 146.41%: </w:t>
      </w:r>
      <w:r>
        <w:rPr>
          <w:rFonts w:ascii="Arial" w:cs="Arial" w:eastAsia="Arial" w:hAnsi="Arial"/>
          <w:sz w:val="22"/>
          <w:szCs w:val="22"/>
        </w:rPr>
        <w:t xml:space="preserve">cumulative gain over the whole period (vs the annualized 9.08% CAGR).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 Parametric −1.94% vs Cornish-Fisher −2.01%: </w:t>
      </w:r>
      <w:r>
        <w:rPr>
          <w:rFonts w:ascii="Arial" w:cs="Arial" w:eastAsia="Arial" w:hAnsi="Arial"/>
          <w:sz w:val="22"/>
          <w:szCs w:val="22"/>
        </w:rPr>
        <w:t xml:space="preserve">the parametric version assumes a normal distribution; Cornish-Fisher corrects for skew and fat tails and is worse, confirming normality understates tail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% Positive Days 53.6%: </w:t>
      </w:r>
      <w:r>
        <w:rPr>
          <w:rFonts w:ascii="Arial" w:cs="Arial" w:eastAsia="Arial" w:hAnsi="Arial"/>
          <w:sz w:val="22"/>
          <w:szCs w:val="22"/>
        </w:rPr>
        <w:t xml:space="preserve">the strategy makes money on slightly more than half of all days; small edges compound.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Return Distribution vs Normal (right)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blue histogram is actual daily returns; the orange dashed curve is a normal distribution with the same mean and volatility. The real distribution has a taller peak and fatter tails (leptokurtosis). The red lines mark VaR 95% and CVaR 95%. Real markets produce more extreme days than a normal model predicts — which is why historical and Cornish-Fisher VaR are computed alongside the parametric one.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Page 5 — VIX Volatility Regime Analysis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Tearsheet Page 5 — VIX index with thresholds, regime performance table and Sharpe-by-regime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Tests how momentum performance depends on the volatility environment, measured by the VIX index (implied volatility of S&amp;P 500 options — the market's fear gauge).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VIX Index Chart (top)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VIX over the whole period with thresholds at 20 (risk-on) and 30 (risk-off). The spike to ~80 in March 2020 is the COVID panic; the 2022 cluster reflects rate-hike stress. Most of the time VIX sits below 20.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by VIX Regime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Splitting the data by VIX level produces the key insight of the page: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900"/>
        <w:gridCol w:w="1680"/>
        <w:gridCol w:w="168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Time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Ann. Return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Ann. Vol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Risk-On (VIX &lt; 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69.4%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+23.93%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15.63%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+1.53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Elevated (20–30)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24.8%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−23.25%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23.17%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Risk-Off (VIX &gt; 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−8.80%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32.02%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−0.27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calm markets (VIX &lt; 20, ~70% of the time) the strategy is excellent: +23.93% annualized at Sharpe 1.53. Once volatility rises above 20 the edge vanishes and returns turn sharply negative. The strategy's entire profitability is concentrated in low-volatility environments — a regime-dependent alpha. A simple on/off VIX filter sacrifices too much compounding time to be worth it, but the regime breakdown itself is a powerful analytical result.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Page 6 — Factor Exposure Analysis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Tearsheet Page 6 — Fama-French 5-factor + momentum exposures, loadings table and alpha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Answers the deepest question: where does the return come from? The strategy's daily returns are regressed on the Fama-French five factors plus momentum. Each factor is a documented, cheaply-buyable source of return; anything left over is genuine skill (alpha).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Six Factors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(Mkt-RF): </w:t>
      </w:r>
      <w:r>
        <w:rPr>
          <w:rFonts w:ascii="Arial" w:cs="Arial" w:eastAsia="Arial" w:hAnsi="Arial"/>
          <w:sz w:val="22"/>
          <w:szCs w:val="22"/>
        </w:rPr>
        <w:t xml:space="preserve">broad market exposure above the risk-free rate — plain market beta.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Size (SMB): </w:t>
      </w:r>
      <w:r>
        <w:rPr>
          <w:rFonts w:ascii="Arial" w:cs="Arial" w:eastAsia="Arial" w:hAnsi="Arial"/>
          <w:sz w:val="22"/>
          <w:szCs w:val="22"/>
        </w:rPr>
        <w:t xml:space="preserve">small companies tending to outperform large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(HML): </w:t>
      </w:r>
      <w:r>
        <w:rPr>
          <w:rFonts w:ascii="Arial" w:cs="Arial" w:eastAsia="Arial" w:hAnsi="Arial"/>
          <w:sz w:val="22"/>
          <w:szCs w:val="22"/>
        </w:rPr>
        <w:t xml:space="preserve">cheap stocks tending to outperform expensive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Profitability (RMW): </w:t>
      </w:r>
      <w:r>
        <w:rPr>
          <w:rFonts w:ascii="Arial" w:cs="Arial" w:eastAsia="Arial" w:hAnsi="Arial"/>
          <w:sz w:val="22"/>
          <w:szCs w:val="22"/>
        </w:rPr>
        <w:t xml:space="preserve">profitable firms outperforming weak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Investment (CMA): </w:t>
      </w:r>
      <w:r>
        <w:rPr>
          <w:rFonts w:ascii="Arial" w:cs="Arial" w:eastAsia="Arial" w:hAnsi="Arial"/>
          <w:sz w:val="22"/>
          <w:szCs w:val="22"/>
        </w:rPr>
        <w:t xml:space="preserve">conservative-investing firms outperforming aggressive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Momentum (Mom): </w:t>
      </w:r>
      <w:r>
        <w:rPr>
          <w:rFonts w:ascii="Arial" w:cs="Arial" w:eastAsia="Arial" w:hAnsi="Arial"/>
          <w:sz w:val="22"/>
          <w:szCs w:val="22"/>
        </w:rPr>
        <w:t xml:space="preserve">recent winners continuing to beat recent losers — the effect this strategy targets.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t-stat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Significant?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Momentum (Mom)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+0.679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46.12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(Mkt-RF)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+0.457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33.52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Size (SMB)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−3.66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 (HML)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−3.77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Profitability (RMW)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−2.16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Investment (CMA)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−0.087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−2.31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Alpha: −0.21%/yr (t-stat −0.06, not significant)  │  R² = 0.609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Numbers Mean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t-statistic: </w:t>
      </w:r>
      <w:r>
        <w:rPr>
          <w:rFonts w:ascii="Arial" w:cs="Arial" w:eastAsia="Arial" w:hAnsi="Arial"/>
          <w:sz w:val="22"/>
          <w:szCs w:val="22"/>
        </w:rPr>
        <w:t xml:space="preserve">measures how reliably a beta differs from zero; |t| &gt; 2 means significant. The momentum t-stat of 46 is enormous.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Momentum beta +0.68: </w:t>
      </w:r>
      <w:r>
        <w:rPr>
          <w:rFonts w:ascii="Arial" w:cs="Arial" w:eastAsia="Arial" w:hAnsi="Arial"/>
          <w:sz w:val="22"/>
          <w:szCs w:val="22"/>
        </w:rPr>
        <w:t xml:space="preserve">the dominant exposure — statistically the strategy is a near-replica of the academic momentum factor, validating the signal was built correctly.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beta +0.46: </w:t>
      </w:r>
      <w:r>
        <w:rPr>
          <w:rFonts w:ascii="Arial" w:cs="Arial" w:eastAsia="Arial" w:hAnsi="Arial"/>
          <w:sz w:val="22"/>
          <w:szCs w:val="22"/>
        </w:rPr>
        <w:t xml:space="preserve">an unexpected finding — despite being long/short, the strategy carries significant net-long market exposure. Part of its return came simply from the market rising; in production this would be hedged.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Small negative tilts (SMB, HML, RMW, CMA): </w:t>
      </w:r>
      <w:r>
        <w:rPr>
          <w:rFonts w:ascii="Arial" w:cs="Arial" w:eastAsia="Arial" w:hAnsi="Arial"/>
          <w:sz w:val="22"/>
          <w:szCs w:val="22"/>
        </w:rPr>
        <w:t xml:space="preserve">significant but economically small (−0.07 to −0.09) — a mild lean toward large-cap growth winners.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 −0.21%, not significant: </w:t>
      </w:r>
      <w:r>
        <w:rPr>
          <w:rFonts w:ascii="Arial" w:cs="Arial" w:eastAsia="Arial" w:hAnsi="Arial"/>
          <w:sz w:val="22"/>
          <w:szCs w:val="22"/>
        </w:rPr>
        <w:t xml:space="preserve">after removing all factor exposures, no excess return remains — the honest, expected result. Finding zero alpha rather than manufacturing a positive number is a mark of rigor.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R² = 0.61: </w:t>
      </w:r>
      <w:r>
        <w:rPr>
          <w:rFonts w:ascii="Arial" w:cs="Arial" w:eastAsia="Arial" w:hAnsi="Arial"/>
          <w:sz w:val="22"/>
          <w:szCs w:val="22"/>
        </w:rPr>
        <w:t xml:space="preserve">the six factors explain 61% of return variation; the rest is asset-specific noise, not alpha.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One-Sentence Takeaway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momentum strategy is a faithful, well-constructed harvester of the momentum and market risk premia, with no genuine alpha and an unintended net-long market exposure that should be hedged — a conclusion that demonstrates exactly the performance-attribution thinking expected of a quant trader or portfolio manager.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Generated as part of the QuantAlpha project — companion to notebooks/QuantAlpha_Tearsheet.pdf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716d77a75e7e098558293e98747c3d3fcb4f09.png"/><Relationship Id="rId8" Type="http://schemas.openxmlformats.org/officeDocument/2006/relationships/image" Target="media/1ddac6d2b64d0df80366ff55d5e333c75c76b834.png"/><Relationship Id="rId9" Type="http://schemas.openxmlformats.org/officeDocument/2006/relationships/image" Target="media/a2557d4753d75c0fa1068c8789ef3e0dd5638165.png"/><Relationship Id="rId10" Type="http://schemas.openxmlformats.org/officeDocument/2006/relationships/image" Target="media/4e15a871602dbc8c42bf13a7df659c7346f01724.png"/><Relationship Id="rId11" Type="http://schemas.openxmlformats.org/officeDocument/2006/relationships/image" Target="media/b51119c879042339190c3b5edff3f99c7c480d3a.png"/><Relationship Id="rId12" Type="http://schemas.openxmlformats.org/officeDocument/2006/relationships/image" Target="media/92a62aaf40918d37afe475675b5cd774419dc32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2026-06-30T01:44:39.643Z</dcterms:created>
  <dcterms:modified xsi:type="dcterms:W3CDTF">2026-06-30T01:44:39.643Z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