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87E8" w14:textId="77777777" w:rsidR="00C437E0" w:rsidRDefault="00C437E0" w:rsidP="00C437E0">
      <w:pPr>
        <w:pStyle w:val="Ttulo1"/>
      </w:pPr>
      <w:r>
        <w:t>Frequência</w:t>
      </w:r>
    </w:p>
    <w:p w14:paraId="610BA564" w14:textId="77777777" w:rsidR="00C437E0" w:rsidRDefault="00C437E0" w:rsidP="00C437E0">
      <w:pPr>
        <w:pStyle w:val="Ttulo5"/>
      </w:pPr>
      <w:proofErr w:type="spellStart"/>
      <w:r>
        <w:t>SOUGOV</w:t>
      </w:r>
      <w:proofErr w:type="spellEnd"/>
      <w:r>
        <w:t xml:space="preserve"> FREQUÊNCIA </w:t>
      </w:r>
    </w:p>
    <w:p w14:paraId="16D4D242" w14:textId="77777777" w:rsidR="00C437E0" w:rsidRDefault="00C437E0" w:rsidP="00C437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 convite do Ministério da Gestão e da Inovação em Serviços Públicos (MGI), o </w:t>
      </w:r>
      <w:r>
        <w:rPr>
          <w:rStyle w:val="Forte"/>
        </w:rPr>
        <w:t>Instituto Nacional da Propriedade Industrial (INPI)</w:t>
      </w:r>
      <w:r>
        <w:t xml:space="preserve"> implantou o SOUGOV frequência a partir de </w:t>
      </w:r>
      <w:r>
        <w:rPr>
          <w:rStyle w:val="Forte"/>
        </w:rPr>
        <w:t>01 de setembro de 2023</w:t>
      </w:r>
      <w:r>
        <w:t>, inabilitando o SISREF.</w:t>
      </w:r>
    </w:p>
    <w:p w14:paraId="7D92FB26" w14:textId="77777777" w:rsidR="00C437E0" w:rsidRDefault="00C437E0" w:rsidP="00C437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Acessos disponíveis pelo aplicativo de celular (</w:t>
      </w:r>
      <w:proofErr w:type="spellStart"/>
      <w:r>
        <w:t>SOUGOV</w:t>
      </w:r>
      <w:proofErr w:type="spellEnd"/>
      <w:r>
        <w:t xml:space="preserve">) em </w:t>
      </w:r>
      <w:proofErr w:type="spellStart"/>
      <w:r>
        <w:t>auto-atendimento</w:t>
      </w:r>
      <w:proofErr w:type="spellEnd"/>
      <w:r>
        <w:t xml:space="preserve"> "Frequência" ou pelo computador: https://sougov.sigepe.gov.br/sougov/</w:t>
      </w:r>
    </w:p>
    <w:p w14:paraId="0AB9E475" w14:textId="77777777" w:rsidR="00C437E0" w:rsidRDefault="00C437E0" w:rsidP="00C437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Orientamos que os servidores mantenham a guarda mensal de suas frequências. Caso o(a) servidor(a) queira consultar suas fichas de frequências no antigo sistema SISREF do qual o INPI utilizou de maio de 2021 a de agosto de 2023, acesse o link: https://sisref.sigepe.gov.br/sisref/entrada.php</w:t>
      </w:r>
    </w:p>
    <w:p w14:paraId="187E1587" w14:textId="77777777" w:rsidR="00C437E0" w:rsidRDefault="00C437E0" w:rsidP="00C437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Orientações, passo a passo e tutoriais sobre o </w:t>
      </w:r>
      <w:proofErr w:type="spellStart"/>
      <w:r>
        <w:t>SOUGOV</w:t>
      </w:r>
      <w:proofErr w:type="spellEnd"/>
      <w:r>
        <w:t xml:space="preserve"> Frequência foram </w:t>
      </w:r>
      <w:proofErr w:type="spellStart"/>
      <w:r>
        <w:t>disponiblizados</w:t>
      </w:r>
      <w:proofErr w:type="spellEnd"/>
      <w:r>
        <w:t xml:space="preserve"> pelo </w:t>
      </w:r>
      <w:proofErr w:type="spellStart"/>
      <w:r>
        <w:t>MGI</w:t>
      </w:r>
      <w:proofErr w:type="spellEnd"/>
      <w:r>
        <w:t xml:space="preserve"> no Portal do Servidor. Link de acesso: https://www.gov.br/servidor/pt-br/acesso-a-informacao/faq/sou-gov.br/frequencia</w:t>
      </w:r>
    </w:p>
    <w:p w14:paraId="380C9849" w14:textId="77777777" w:rsidR="00C437E0" w:rsidRDefault="00C437E0" w:rsidP="00C437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Contato: </w:t>
      </w:r>
      <w:hyperlink r:id="rId5" w:history="1">
        <w:r>
          <w:rPr>
            <w:rStyle w:val="Hyperlink"/>
          </w:rPr>
          <w:t>sougovfrequencia@inpi.gov.br</w:t>
        </w:r>
      </w:hyperlink>
    </w:p>
    <w:p w14:paraId="563B03DB" w14:textId="77777777" w:rsidR="00C437E0" w:rsidRDefault="00C437E0" w:rsidP="00C437E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 </w:t>
      </w:r>
      <w:hyperlink r:id="rId6" w:tgtFrame="_self" w:history="1">
        <w:r>
          <w:rPr>
            <w:rStyle w:val="Hyperlink"/>
            <w:b/>
            <w:bCs/>
          </w:rPr>
          <w:t>Apresentação do SOUGOV frequência </w:t>
        </w:r>
      </w:hyperlink>
      <w:r>
        <w:t>   </w:t>
      </w:r>
    </w:p>
    <w:p w14:paraId="22F66B74" w14:textId="77777777" w:rsidR="00C437E0" w:rsidRDefault="00C437E0" w:rsidP="00C437E0">
      <w:pPr>
        <w:pStyle w:val="Ttulo5"/>
      </w:pPr>
      <w:r>
        <w:t>COMUNICADO MENSAL DA FREQUÊNCIA (</w:t>
      </w:r>
      <w:hyperlink r:id="rId7" w:history="1">
        <w:r>
          <w:rPr>
            <w:rStyle w:val="Hyperlink"/>
          </w:rPr>
          <w:t>CLIQUE AQUI</w:t>
        </w:r>
      </w:hyperlink>
      <w:r>
        <w:t>)     </w:t>
      </w:r>
    </w:p>
    <w:p w14:paraId="6285132F" w14:textId="77777777" w:rsidR="00C437E0" w:rsidRDefault="00C437E0" w:rsidP="00C437E0">
      <w:pPr>
        <w:pStyle w:val="Ttulo5"/>
      </w:pPr>
      <w:r>
        <w:t>PRAZO PARA HOMOLOGAÇÃO DAS FICHAS DE NOVEMBRO/25:  DE 01/12/2025 ATÉ 05/12/2025</w:t>
      </w:r>
    </w:p>
    <w:p w14:paraId="263DEE4F" w14:textId="77777777" w:rsidR="00C437E0" w:rsidRDefault="00C437E0" w:rsidP="00C437E0">
      <w:pPr>
        <w:pStyle w:val="NormalWeb"/>
      </w:pPr>
      <w:r>
        <w:rPr>
          <w:rStyle w:val="Forte"/>
        </w:rPr>
        <w:t>Atenção a orientação importante sobre os novos servidores:</w:t>
      </w:r>
      <w:r>
        <w:t xml:space="preserve"> As frequências de novembro de 2025 dos novos servidores serão lançadas e homologadas pela DIREF. Os servidores ingressantes a partir de 10/11/2025, devem registrar suas frequências no SOUGOV "Frequência" a partir de 08/12/2025. A ficha de dezembro de 2025 será homologada normalmente pela chefia imediata em janeiro de 2026.</w:t>
      </w:r>
    </w:p>
    <w:p w14:paraId="30EC0652" w14:textId="77777777" w:rsidR="00C437E0" w:rsidRDefault="00C437E0" w:rsidP="00C437E0">
      <w:r>
        <w:t xml:space="preserve">Tutorial sobre </w:t>
      </w:r>
      <w:r>
        <w:rPr>
          <w:rStyle w:val="Forte"/>
        </w:rPr>
        <w:t>como pedir dilação de prazo para homologação</w:t>
      </w:r>
      <w:r>
        <w:t xml:space="preserve"> da frequência -</w:t>
      </w:r>
      <w:hyperlink r:id="rId8" w:tgtFrame="_blank" w:history="1">
        <w:r>
          <w:rPr>
            <w:rStyle w:val="Hyperlink"/>
          </w:rPr>
          <w:t xml:space="preserve"> clique aqui</w:t>
        </w:r>
      </w:hyperlink>
    </w:p>
    <w:p w14:paraId="5062D43D" w14:textId="77777777" w:rsidR="00C437E0" w:rsidRDefault="00C437E0" w:rsidP="00C437E0">
      <w:r>
        <w:rPr>
          <w:rStyle w:val="Forte"/>
        </w:rPr>
        <w:t>Tabela de ocorrências</w:t>
      </w:r>
      <w:r>
        <w:t xml:space="preserve"> disponibilizadas pelo SOUGOV Frequência </w:t>
      </w:r>
      <w:r>
        <w:rPr>
          <w:rStyle w:val="Forte"/>
        </w:rPr>
        <w:t>aos servidores</w:t>
      </w:r>
      <w:r>
        <w:t xml:space="preserve"> - </w:t>
      </w:r>
      <w:hyperlink r:id="rId9" w:history="1">
        <w:r>
          <w:rPr>
            <w:rStyle w:val="Hyperlink"/>
          </w:rPr>
          <w:t>clique aqui</w:t>
        </w:r>
      </w:hyperlink>
    </w:p>
    <w:p w14:paraId="78B78AB1" w14:textId="77777777" w:rsidR="00C437E0" w:rsidRDefault="00C437E0" w:rsidP="00C437E0">
      <w:r>
        <w:rPr>
          <w:rStyle w:val="Forte"/>
        </w:rPr>
        <w:t>Tabela de ocorrências</w:t>
      </w:r>
      <w:r>
        <w:t xml:space="preserve"> </w:t>
      </w:r>
      <w:proofErr w:type="spellStart"/>
      <w:r>
        <w:t>disponibiizadas</w:t>
      </w:r>
      <w:proofErr w:type="spellEnd"/>
      <w:r>
        <w:t xml:space="preserve"> pelo </w:t>
      </w:r>
      <w:proofErr w:type="spellStart"/>
      <w:r>
        <w:t>SOUGOV</w:t>
      </w:r>
      <w:proofErr w:type="spellEnd"/>
      <w:r>
        <w:t xml:space="preserve"> Frequência </w:t>
      </w:r>
      <w:r>
        <w:rPr>
          <w:rStyle w:val="Forte"/>
        </w:rPr>
        <w:t>aos líderes</w:t>
      </w:r>
      <w:r>
        <w:t xml:space="preserve"> - </w:t>
      </w:r>
      <w:hyperlink r:id="rId10" w:history="1">
        <w:r>
          <w:rPr>
            <w:rStyle w:val="Hyperlink"/>
          </w:rPr>
          <w:t>clique aqui</w:t>
        </w:r>
      </w:hyperlink>
    </w:p>
    <w:p w14:paraId="7628C18D" w14:textId="77777777" w:rsidR="00C437E0" w:rsidRDefault="00C437E0" w:rsidP="00C437E0">
      <w:pPr>
        <w:pStyle w:val="Ttulo5"/>
      </w:pPr>
      <w:r>
        <w:t>RECESSO DE FINAL DE ANO 2025 - PORTARIA SRT/MGI Nº 7.486 - D.O.U DE 05/09/2025 (</w:t>
      </w:r>
      <w:hyperlink r:id="rId11" w:history="1">
        <w:r>
          <w:rPr>
            <w:rStyle w:val="Hyperlink"/>
          </w:rPr>
          <w:t>CLIQUE AQUI</w:t>
        </w:r>
      </w:hyperlink>
      <w:r>
        <w:t>)   </w:t>
      </w:r>
    </w:p>
    <w:p w14:paraId="14962E3E" w14:textId="77777777" w:rsidR="00C437E0" w:rsidRDefault="00C437E0" w:rsidP="00C437E0">
      <w:pPr>
        <w:pStyle w:val="Ttulo5"/>
      </w:pPr>
      <w:r>
        <w:t>COMUNICADO COM ORIENTAÇÕES SOBRE O RECESSO DE FINAL DE ANO (2025/2026) (</w:t>
      </w:r>
      <w:hyperlink r:id="rId12" w:history="1">
        <w:r>
          <w:rPr>
            <w:rStyle w:val="Hyperlink"/>
          </w:rPr>
          <w:t>CLIQUE AQUI</w:t>
        </w:r>
      </w:hyperlink>
      <w:r>
        <w:t>) </w:t>
      </w:r>
    </w:p>
    <w:p w14:paraId="6078C947" w14:textId="77777777" w:rsidR="00C437E0" w:rsidRDefault="00C437E0" w:rsidP="00C437E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 recesso para comemoração das festas de final de ano (Natal e Ano Novo) compreenderá os períodos de 22 a 26 de dezembro de 2025 e de 29 de dezembro de 2025 a 2 de janeiro de 2026.</w:t>
      </w:r>
    </w:p>
    <w:p w14:paraId="14CE90F2" w14:textId="77777777" w:rsidR="00C437E0" w:rsidRDefault="00C437E0" w:rsidP="00C437E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Os agentes públicos devem se revezar nos dois períodos comemorativos estabelecidos no caput, preservando os serviços essenciais, em especial o atendimento ao público.</w:t>
      </w:r>
    </w:p>
    <w:p w14:paraId="539B59D2" w14:textId="77777777" w:rsidR="00C437E0" w:rsidRDefault="00C437E0" w:rsidP="00C437E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 recesso deverá ser compensado no período de 1º de outubro de 2025 até 31 de maio de 2026.</w:t>
      </w:r>
    </w:p>
    <w:p w14:paraId="09D1B930" w14:textId="77777777" w:rsidR="00C437E0" w:rsidRDefault="00C437E0" w:rsidP="00C437E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Para os agentes públicos que exercem as suas atividades presencialmente e não participam do Programa de Gestão e Desempenho - PGD, a compensação deverá ser </w:t>
      </w:r>
      <w:r>
        <w:lastRenderedPageBreak/>
        <w:t>realizada mediante antecipação do início da jornada diária de trabalho ou de sua postergação, observado o horário de funcionamento do órgão ou entidade.</w:t>
      </w:r>
    </w:p>
    <w:p w14:paraId="4DBA2F7E" w14:textId="77777777" w:rsidR="00C437E0" w:rsidRDefault="00C437E0" w:rsidP="00C437E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Para os agentes públicos que estão participando do PGD, a compensação deverá ser realizada pelo cumprimento de todas as entregas pactuadas no plano de trabalho equivalentes às horas a serem compensadas.</w:t>
      </w:r>
    </w:p>
    <w:p w14:paraId="7ABCD26E" w14:textId="77777777" w:rsidR="00C437E0" w:rsidRDefault="00C437E0" w:rsidP="00C437E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 agente público que não compensar as horas usufruídas em razão do recesso, no período estabelecido no § 2º, sofrerá desconto em sua remuneração, proporcionalmente às horas não compensadas.</w:t>
      </w:r>
    </w:p>
    <w:p w14:paraId="0CE5C6E2" w14:textId="77777777" w:rsidR="00C437E0" w:rsidRDefault="00C437E0" w:rsidP="00C437E0">
      <w:pPr>
        <w:spacing w:before="100" w:beforeAutospacing="1" w:after="100" w:afterAutospacing="1"/>
        <w:outlineLvl w:val="2"/>
      </w:pPr>
      <w:r>
        <w:rPr>
          <w:rStyle w:val="Forte"/>
          <w:rFonts w:ascii="Segoe UI Emoji" w:hAnsi="Segoe UI Emoji" w:cs="Segoe UI Emoji"/>
        </w:rPr>
        <w:t>🔄</w:t>
      </w:r>
      <w:r>
        <w:rPr>
          <w:rStyle w:val="Forte"/>
        </w:rPr>
        <w:t>Uso das ocorrências "1004 e 1005"</w:t>
      </w:r>
    </w:p>
    <w:p w14:paraId="660B7995" w14:textId="77777777" w:rsidR="00C437E0" w:rsidRDefault="00C437E0" w:rsidP="00C437E0">
      <w:r>
        <w:rPr>
          <w:rStyle w:val="Forte"/>
        </w:rPr>
        <w:t>1004 - Efetivo deslocamento</w:t>
      </w:r>
      <w:r>
        <w:t xml:space="preserve"> - Para agentes públicos </w:t>
      </w:r>
      <w:r>
        <w:rPr>
          <w:rStyle w:val="Forte"/>
        </w:rPr>
        <w:t>fora do Programa de Gestão e Desempenho (PGD)</w:t>
      </w:r>
      <w:r>
        <w:t>, que deslocam ao trabalho.</w:t>
      </w:r>
    </w:p>
    <w:p w14:paraId="61442CC8" w14:textId="77777777" w:rsidR="00C437E0" w:rsidRDefault="00C437E0" w:rsidP="00C437E0">
      <w:r>
        <w:t>Este código será registrado automaticamente pelo sistema para quem registra frequência.</w:t>
      </w:r>
    </w:p>
    <w:p w14:paraId="5F354945" w14:textId="77777777" w:rsidR="00C437E0" w:rsidRDefault="00C437E0" w:rsidP="00C437E0">
      <w:r>
        <w:rPr>
          <w:rStyle w:val="Forte"/>
        </w:rPr>
        <w:t>1005 - Efetivo deslocamento</w:t>
      </w:r>
      <w:r>
        <w:t xml:space="preserve"> - Para agentes públicos </w:t>
      </w:r>
      <w:r>
        <w:rPr>
          <w:rStyle w:val="Forte"/>
        </w:rPr>
        <w:t>em qualquer modalidade do Programa de Gestão e Desempenho (PGD)</w:t>
      </w:r>
      <w:r>
        <w:t>.</w:t>
      </w:r>
    </w:p>
    <w:p w14:paraId="1A48B502" w14:textId="77777777" w:rsidR="00C437E0" w:rsidRDefault="00C437E0" w:rsidP="00C437E0">
      <w:r>
        <w:t>O servidor deve registrar essa ocorrência no dia em que comparecer ao INPI. Primeiro será preciso inativar a ocorrência do PGD do dia e em seguida inserir a ocorrência indicada.</w:t>
      </w:r>
    </w:p>
    <w:p w14:paraId="3C02B158" w14:textId="77777777" w:rsidR="00C437E0" w:rsidRDefault="00C437E0" w:rsidP="00C437E0">
      <w:r>
        <w:t>Segue o TUTORIAL para auxiliar no procedimento: </w:t>
      </w:r>
      <w:hyperlink r:id="rId13" w:history="1">
        <w:r>
          <w:rPr>
            <w:rStyle w:val="Hyperlink"/>
            <w:b/>
            <w:bCs/>
          </w:rPr>
          <w:t>TUTORIAL</w:t>
        </w:r>
      </w:hyperlink>
      <w:r>
        <w:t> </w:t>
      </w:r>
    </w:p>
    <w:p w14:paraId="7859F08B" w14:textId="77777777" w:rsidR="00C437E0" w:rsidRDefault="00C437E0" w:rsidP="00C437E0">
      <w:pPr>
        <w:pStyle w:val="Ttulo5"/>
      </w:pPr>
      <w:r>
        <w:t>Orientação para integrantes do Programa de Gestão e Desempenho (PGD)</w:t>
      </w:r>
    </w:p>
    <w:p w14:paraId="2D6E03CD" w14:textId="77777777" w:rsidR="00C437E0" w:rsidRDefault="00C437E0" w:rsidP="00C437E0">
      <w:r>
        <w:t xml:space="preserve">Caso na frequência não reflita automaticamente a ocorrência correta referente ao PGD (1001,1002 e 1003) da qual o servidor participa (integral, parcial, exterior ou presencial), a chefia imediata deve fazer o procedimento no SOUGOV indicado a seguir: </w:t>
      </w:r>
      <w:hyperlink r:id="rId14" w:tgtFrame="_blank" w:history="1">
        <w:r>
          <w:rPr>
            <w:rStyle w:val="Hyperlink"/>
            <w:b/>
            <w:bCs/>
          </w:rPr>
          <w:t>Tutorial</w:t>
        </w:r>
      </w:hyperlink>
    </w:p>
    <w:p w14:paraId="373AD2B4" w14:textId="77777777" w:rsidR="00C437E0" w:rsidRDefault="00C437E0" w:rsidP="00C437E0">
      <w:proofErr w:type="spellStart"/>
      <w:r>
        <w:rPr>
          <w:rStyle w:val="Forte"/>
        </w:rPr>
        <w:t>SOUGOV</w:t>
      </w:r>
      <w:proofErr w:type="spellEnd"/>
      <w:r>
        <w:rPr>
          <w:rStyle w:val="Forte"/>
        </w:rPr>
        <w:t xml:space="preserve"> FREQUÊNCIA para servidores</w:t>
      </w:r>
    </w:p>
    <w:p w14:paraId="66B22159" w14:textId="77777777" w:rsidR="00C437E0" w:rsidRDefault="00C437E0" w:rsidP="00C437E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Material disponibilizado pelo MGI. Acesse o Portal do servidor em: </w:t>
      </w:r>
      <w:hyperlink r:id="rId15" w:tgtFrame="_blank" w:history="1">
        <w:r>
          <w:rPr>
            <w:rStyle w:val="Hyperlink"/>
          </w:rPr>
          <w:t>https://www.gov.br/servidor/pt-br/acesso-a-informacao/faq/sou-gov.br/frequencia/frequencia-perfil-servidor</w:t>
        </w:r>
      </w:hyperlink>
    </w:p>
    <w:p w14:paraId="5AB64AFE" w14:textId="77777777" w:rsidR="00C437E0" w:rsidRDefault="00C437E0" w:rsidP="00C437E0">
      <w:pPr>
        <w:spacing w:after="0"/>
      </w:pPr>
      <w:r>
        <w:rPr>
          <w:rStyle w:val="Forte"/>
        </w:rPr>
        <w:t>SOUGOV FREQUÊNCIA para líderes (chefias)</w:t>
      </w:r>
    </w:p>
    <w:p w14:paraId="1E67CF30" w14:textId="77777777" w:rsidR="00C437E0" w:rsidRDefault="00C437E0" w:rsidP="00C437E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Material disponibilizado pelo MGI. Acesse: </w:t>
      </w:r>
      <w:hyperlink r:id="rId16" w:tgtFrame="_blank" w:history="1">
        <w:r>
          <w:rPr>
            <w:rStyle w:val="Hyperlink"/>
          </w:rPr>
          <w:t>https://www.gov.br/servidor/pt-br/acesso-a-informacao/faq/sou-gov.br/frequencia/perfil-lider/frequencia-perfil-lider</w:t>
        </w:r>
      </w:hyperlink>
    </w:p>
    <w:p w14:paraId="5AEF2E29" w14:textId="77777777" w:rsidR="00C437E0" w:rsidRDefault="00C437E0" w:rsidP="00C437E0">
      <w:pPr>
        <w:pStyle w:val="Ttulo5"/>
      </w:pPr>
      <w:r>
        <w:t>Legislações sobre a Frequência</w:t>
      </w:r>
    </w:p>
    <w:p w14:paraId="24CAB87B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 </w:t>
      </w:r>
      <w:hyperlink r:id="rId17" w:tgtFrame="_blank" w:history="1">
        <w:r>
          <w:rPr>
            <w:rStyle w:val="Hyperlink"/>
          </w:rPr>
          <w:t>INSTRUÇÃO NORMATIVA INPI Nº 119, DE 18 /05/2021 (publicada no B.P X, de maio/2021)</w:t>
        </w:r>
      </w:hyperlink>
    </w:p>
    <w:p w14:paraId="10141B81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18" w:history="1">
        <w:r>
          <w:rPr>
            <w:rStyle w:val="Hyperlink"/>
          </w:rPr>
          <w:t>Lei nº 8.112, de 11 de dezembro de 1990</w:t>
        </w:r>
      </w:hyperlink>
      <w:r>
        <w:t>: dispõe sobre o regime jurídico dos servidores públicos civis da União, das autarquias e das fundações públicas federais.</w:t>
      </w:r>
    </w:p>
    <w:p w14:paraId="6E6FEF04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19" w:history="1">
        <w:r>
          <w:rPr>
            <w:rStyle w:val="Hyperlink"/>
          </w:rPr>
          <w:t>Decreto nº 1.590, de 10 de agosto de 1995</w:t>
        </w:r>
      </w:hyperlink>
      <w:r>
        <w:t>: dispõe sobre a jornada de trabalho dos servidores da Administração Pública Federal direta, das autarquias e das fundações públicas federais, e dá outras providências</w:t>
      </w:r>
    </w:p>
    <w:p w14:paraId="57314D69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20" w:history="1">
        <w:r>
          <w:rPr>
            <w:rStyle w:val="Hyperlink"/>
          </w:rPr>
          <w:t>Decreto nº 1.867, de 17 de abril de 1996</w:t>
        </w:r>
      </w:hyperlink>
      <w:r>
        <w:t>: dispõe sobre instrumento de registro de assiduidade e pontualidade dos servidores públicos federais da Administração Pública Federal direta, autárquica e fundacional, e dá outras providências.</w:t>
      </w:r>
    </w:p>
    <w:p w14:paraId="197390C9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21" w:tgtFrame="_self" w:history="1">
        <w:r>
          <w:rPr>
            <w:rStyle w:val="Hyperlink"/>
          </w:rPr>
          <w:t>Instrução Normativa SRT/MGI nº 38, de 20 de novembro de 2023</w:t>
        </w:r>
      </w:hyperlink>
      <w:r>
        <w:t>: Altera a Instrução Normativa nº 2, de 12 de setembro de 2018, que estabelece orientação, critérios e procedimentos gerais a serem observados pelos órgãos e entidades integrantes do Sistema de Pessoal Civil da Administração Federal - SIPEC, quanto à jornada de trabalho de que trata o art. 19 da Lei nº 8.112, de 11 de dezembro de 1990, regulamentado pelo Decreto nº 1.590, de 10 de agosto de 1995, e pelo Decreto nº 1.867, de 17 de abril de 1996, que dispõem sobre o controle eletrônico de frequência e a compatibilidade de horários na acumulação remunerada de cargos, empregos e funções, aplicáveis aos servidores públicos em exercício nos órgãos e entidades integrantes da Administração Pública Federal direta, autárquica e fundacional.</w:t>
      </w:r>
    </w:p>
    <w:p w14:paraId="0186281E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22" w:tgtFrame="_self" w:history="1">
        <w:r>
          <w:rPr>
            <w:rStyle w:val="Hyperlink"/>
          </w:rPr>
          <w:t>Instrução Normativa SRT/MGI nº34, de 17 de novembro de 2023:</w:t>
        </w:r>
      </w:hyperlink>
      <w:r>
        <w:t> Altera a Instrução Normativa SGP nº 2, de 12 de setembro de 2018. (REVOGADA)</w:t>
      </w:r>
    </w:p>
    <w:p w14:paraId="12BDCA1D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23" w:tgtFrame="_self" w:history="1">
        <w:r>
          <w:rPr>
            <w:rStyle w:val="Hyperlink"/>
          </w:rPr>
          <w:t>Instrução normativa </w:t>
        </w:r>
      </w:hyperlink>
      <w:hyperlink r:id="rId24" w:tgtFrame="_self" w:history="1">
        <w:r>
          <w:rPr>
            <w:rStyle w:val="Hyperlink"/>
          </w:rPr>
          <w:t>SGP/SEDGG/ME Nº 125, DE 3 DE DEZEMBRO DE 2020:</w:t>
        </w:r>
      </w:hyperlink>
      <w:r>
        <w:t xml:space="preserve"> Altera a Instrução Normativa SGP nº 2, de 12 de setembro de 2018. </w:t>
      </w:r>
    </w:p>
    <w:p w14:paraId="15FF6B64" w14:textId="77777777" w:rsidR="00C437E0" w:rsidRDefault="00C437E0" w:rsidP="00C437E0">
      <w:pPr>
        <w:numPr>
          <w:ilvl w:val="0"/>
          <w:numId w:val="15"/>
        </w:numPr>
        <w:spacing w:before="100" w:beforeAutospacing="1" w:after="100" w:afterAutospacing="1" w:line="240" w:lineRule="auto"/>
      </w:pPr>
      <w:hyperlink r:id="rId25" w:tgtFrame="_self" w:history="1">
        <w:r>
          <w:rPr>
            <w:rStyle w:val="Hyperlink"/>
          </w:rPr>
          <w:t>Instrução normativa SGP nº 2, de 12 de setembro de 2018</w:t>
        </w:r>
      </w:hyperlink>
      <w:r>
        <w:t>: orientação, critérios e procedimentos sobre a jornada de trabalho. </w:t>
      </w:r>
    </w:p>
    <w:p w14:paraId="40EFE634" w14:textId="77777777" w:rsidR="00C437E0" w:rsidRDefault="00C437E0" w:rsidP="00C437E0">
      <w:pPr>
        <w:pStyle w:val="Ttulo5"/>
      </w:pPr>
      <w:r>
        <w:t>Orientações sobre a diferença entre as ocorrências de destinações de horas excedentes                     </w:t>
      </w:r>
    </w:p>
    <w:p w14:paraId="4E5F40C8" w14:textId="77777777" w:rsidR="00C437E0" w:rsidRDefault="00C437E0" w:rsidP="00C437E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Ocorrência código 33333</w:t>
      </w:r>
      <w:r>
        <w:t xml:space="preserve">: Refere-se ao acúmulo de horas excedentes utilizadas para cobrir </w:t>
      </w:r>
      <w:r>
        <w:rPr>
          <w:rStyle w:val="Forte"/>
        </w:rPr>
        <w:t>entradas e saídas em atraso dentro do próprio mês</w:t>
      </w:r>
      <w:r>
        <w:t xml:space="preserve">. Essas horas têm validade </w:t>
      </w:r>
      <w:r>
        <w:rPr>
          <w:rStyle w:val="Forte"/>
        </w:rPr>
        <w:t>exclusivamente mensal</w:t>
      </w:r>
      <w:r>
        <w:t xml:space="preserve"> e </w:t>
      </w:r>
      <w:r>
        <w:rPr>
          <w:rStyle w:val="Forte"/>
        </w:rPr>
        <w:t>não são migradas para o mês seguinte</w:t>
      </w:r>
      <w:r>
        <w:t>. Portanto, caso não sejam utilizadas até o fechamento do mês, são descartadas automaticamente pelo sistema. Pedimos ao servidor(a) atenção ao gerenciamento de suas horas excedentes.                           </w:t>
      </w:r>
    </w:p>
    <w:p w14:paraId="37451053" w14:textId="77777777" w:rsidR="00C437E0" w:rsidRDefault="00C437E0" w:rsidP="00C437E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Ocorrência código 362</w:t>
      </w:r>
      <w:r>
        <w:t xml:space="preserve">: Refere-se ao </w:t>
      </w:r>
      <w:r>
        <w:rPr>
          <w:rStyle w:val="Forte"/>
        </w:rPr>
        <w:t>banco de horas</w:t>
      </w:r>
      <w:r>
        <w:t xml:space="preserve">, cujas horas acumuladas podem ser utilizadas em meses subsequentes. Para o uso desse banco, a chefia imediata deve lançar, no dia da ausência do servidor, a </w:t>
      </w:r>
      <w:r>
        <w:rPr>
          <w:rStyle w:val="Forte"/>
        </w:rPr>
        <w:t>ocorrência 356 – “Ausência para usufruto de banco de horas”</w:t>
      </w:r>
      <w:r>
        <w:t>. </w:t>
      </w:r>
    </w:p>
    <w:p w14:paraId="6F90078E" w14:textId="77777777" w:rsidR="00C437E0" w:rsidRDefault="00C437E0" w:rsidP="00C437E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Importante destacar que, para utilizar o banco de horas (ocorrência 362), é necessário: 1- Ter acumulado previamente as horas excedentes;  2- Estabelecer prévia </w:t>
      </w:r>
      <w:r>
        <w:rPr>
          <w:rStyle w:val="Forte"/>
        </w:rPr>
        <w:t>combinação com a chefia imediata</w:t>
      </w:r>
      <w:r>
        <w:t xml:space="preserve"> quanto ao período de usufruto.</w:t>
      </w:r>
    </w:p>
    <w:p w14:paraId="3401BA34" w14:textId="77777777" w:rsidR="00C437E0" w:rsidRDefault="00C437E0" w:rsidP="00C437E0">
      <w:pPr>
        <w:spacing w:before="100" w:beforeAutospacing="1" w:after="100" w:afterAutospacing="1"/>
        <w:outlineLvl w:val="2"/>
      </w:pPr>
      <w:r>
        <w:rPr>
          <w:rStyle w:val="Forte"/>
          <w:rFonts w:ascii="Segoe UI Emoji" w:hAnsi="Segoe UI Emoji" w:cs="Segoe UI Emoji"/>
        </w:rPr>
        <w:t>🕐</w:t>
      </w:r>
      <w:r>
        <w:rPr>
          <w:rStyle w:val="Forte"/>
        </w:rPr>
        <w:t xml:space="preserve"> PRAZOS DE HOMOLOGAÇÃO</w:t>
      </w:r>
    </w:p>
    <w:p w14:paraId="41511BAE" w14:textId="77777777" w:rsidR="00C437E0" w:rsidRDefault="00C437E0" w:rsidP="00C437E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Forte"/>
        </w:rPr>
        <w:t>frequência do mês anterior</w:t>
      </w:r>
      <w:r>
        <w:t xml:space="preserve"> deverá ser homologada até o </w:t>
      </w:r>
      <w:r>
        <w:rPr>
          <w:rStyle w:val="Forte"/>
        </w:rPr>
        <w:t>5º dia útil do mês subsequente</w:t>
      </w:r>
      <w:r>
        <w:t>.</w:t>
      </w:r>
    </w:p>
    <w:p w14:paraId="5F9FC44A" w14:textId="77777777" w:rsidR="00C437E0" w:rsidRDefault="00C437E0" w:rsidP="00C437E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É importante que todos os </w:t>
      </w:r>
      <w:r>
        <w:rPr>
          <w:rStyle w:val="Forte"/>
        </w:rPr>
        <w:t>chefes de unidades e servidores</w:t>
      </w:r>
      <w:r>
        <w:t> realizem os lançamentos de maneira precisa e dentro do prazo para garantir a regularidade administrativa.</w:t>
      </w:r>
    </w:p>
    <w:p w14:paraId="49094C0E" w14:textId="77777777" w:rsidR="00C437E0" w:rsidRDefault="00C437E0" w:rsidP="00C437E0">
      <w:pPr>
        <w:spacing w:before="100" w:beforeAutospacing="1" w:after="100" w:afterAutospacing="1"/>
        <w:outlineLvl w:val="2"/>
      </w:pPr>
      <w:r>
        <w:rPr>
          <w:rStyle w:val="Forte"/>
          <w:rFonts w:ascii="Segoe UI Emoji" w:hAnsi="Segoe UI Emoji" w:cs="Segoe UI Emoji"/>
        </w:rPr>
        <w:t>📜</w:t>
      </w:r>
      <w:r>
        <w:rPr>
          <w:rStyle w:val="Forte"/>
        </w:rPr>
        <w:t xml:space="preserve"> FUNDAMENTAÇÃO LEGAL</w:t>
      </w:r>
    </w:p>
    <w:p w14:paraId="04B7862A" w14:textId="77777777" w:rsidR="00C437E0" w:rsidRDefault="00C437E0" w:rsidP="00C437E0">
      <w:pPr>
        <w:spacing w:before="100" w:beforeAutospacing="1" w:after="100" w:afterAutospacing="1"/>
      </w:pPr>
      <w:r>
        <w:t xml:space="preserve">A </w:t>
      </w:r>
      <w:r>
        <w:rPr>
          <w:rStyle w:val="Forte"/>
        </w:rPr>
        <w:t>obrigação de homologação da frequência</w:t>
      </w:r>
      <w:r>
        <w:t xml:space="preserve"> está prevista no </w:t>
      </w:r>
      <w:r>
        <w:rPr>
          <w:rStyle w:val="Forte"/>
        </w:rPr>
        <w:t>Decreto nº 1.590, de 1995</w:t>
      </w:r>
      <w:r>
        <w:t xml:space="preserve">, especialmente no </w:t>
      </w:r>
      <w:r>
        <w:rPr>
          <w:rStyle w:val="Forte"/>
        </w:rPr>
        <w:t>artigo 8º</w:t>
      </w:r>
      <w:r>
        <w:t>, que estabelece que:</w:t>
      </w:r>
    </w:p>
    <w:p w14:paraId="0FA29AE7" w14:textId="77777777" w:rsidR="00C437E0" w:rsidRDefault="00C437E0" w:rsidP="00C437E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 frequência deve ser </w:t>
      </w:r>
      <w:r>
        <w:rPr>
          <w:rStyle w:val="Forte"/>
        </w:rPr>
        <w:t>encaminhada até o quinto dia útil do mês subsequente</w:t>
      </w:r>
      <w:r>
        <w:t xml:space="preserve"> à unidade de recursos humanos do respectivo órgão ou entidade.</w:t>
      </w:r>
    </w:p>
    <w:p w14:paraId="6C1D58BF" w14:textId="77777777" w:rsidR="00C437E0" w:rsidRDefault="00C437E0" w:rsidP="00C437E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 documento de frequência deve conter </w:t>
      </w:r>
      <w:r>
        <w:rPr>
          <w:rStyle w:val="Forte"/>
        </w:rPr>
        <w:t>todas as informações das ocorrências funcionais verificadas</w:t>
      </w:r>
      <w:r>
        <w:t>.</w:t>
      </w:r>
    </w:p>
    <w:p w14:paraId="594EEB16" w14:textId="77777777" w:rsidR="00C437E0" w:rsidRDefault="00C437E0" w:rsidP="00C437E0">
      <w:pPr>
        <w:spacing w:before="100" w:beforeAutospacing="1" w:after="100" w:afterAutospacing="1"/>
        <w:outlineLvl w:val="2"/>
      </w:pPr>
      <w:r>
        <w:rPr>
          <w:rStyle w:val="Forte"/>
          <w:rFonts w:ascii="Segoe UI Emoji" w:hAnsi="Segoe UI Emoji" w:cs="Segoe UI Emoji"/>
        </w:rPr>
        <w:lastRenderedPageBreak/>
        <w:t>🔍</w:t>
      </w:r>
      <w:r>
        <w:rPr>
          <w:rStyle w:val="Forte"/>
        </w:rPr>
        <w:t xml:space="preserve"> IMPORTÂNCIA DA CONFORMIDADE E REGULARIDADE</w:t>
      </w:r>
    </w:p>
    <w:p w14:paraId="439D9E3B" w14:textId="77777777" w:rsidR="00C437E0" w:rsidRDefault="00C437E0" w:rsidP="00C437E0">
      <w:pPr>
        <w:pStyle w:val="NormalWeb"/>
      </w:pPr>
      <w:r>
        <w:t xml:space="preserve">A homologação de frequência é fundamental para a </w:t>
      </w:r>
      <w:r>
        <w:rPr>
          <w:rStyle w:val="Forte"/>
        </w:rPr>
        <w:t>conformidade</w:t>
      </w:r>
      <w:r>
        <w:t xml:space="preserve"> dos registros funcionais e para garantir que todos os servidores sejam pagos corretamente, com a devida consideração das ocorrências verificadas. É essencial que todos os </w:t>
      </w:r>
      <w:r>
        <w:rPr>
          <w:rStyle w:val="Forte"/>
        </w:rPr>
        <w:t>chefes de unidades</w:t>
      </w:r>
      <w:r>
        <w:t xml:space="preserve"> e </w:t>
      </w:r>
      <w:r>
        <w:rPr>
          <w:rStyle w:val="Forte"/>
        </w:rPr>
        <w:t>servidores</w:t>
      </w:r>
      <w:r>
        <w:t xml:space="preserve"> mantenham a </w:t>
      </w:r>
      <w:r>
        <w:rPr>
          <w:rStyle w:val="Forte"/>
        </w:rPr>
        <w:t>responsabilidade</w:t>
      </w:r>
      <w:r>
        <w:t xml:space="preserve">, </w:t>
      </w:r>
      <w:r>
        <w:rPr>
          <w:rStyle w:val="Forte"/>
        </w:rPr>
        <w:t>regularidade</w:t>
      </w:r>
      <w:r>
        <w:t xml:space="preserve"> e </w:t>
      </w:r>
      <w:r>
        <w:rPr>
          <w:rStyle w:val="Forte"/>
        </w:rPr>
        <w:t>conformidade legal</w:t>
      </w:r>
      <w:r>
        <w:t>.</w:t>
      </w:r>
    </w:p>
    <w:p w14:paraId="0DA47080" w14:textId="77777777" w:rsidR="00A56309" w:rsidRPr="00C437E0" w:rsidRDefault="00C437E0" w:rsidP="00C437E0">
      <w:r>
        <w:rPr>
          <w:rStyle w:val="Forte"/>
        </w:rPr>
        <w:t>DÚVIDAS</w:t>
      </w:r>
      <w:r>
        <w:t xml:space="preserve">? Estamos à disposição! Mande sua dúvida para o endereço de e-mail: </w:t>
      </w:r>
      <w:hyperlink r:id="rId26" w:history="1">
        <w:r>
          <w:rPr>
            <w:rStyle w:val="Hyperlink"/>
          </w:rPr>
          <w:t>sougovfrequencia@inpi.gov.br</w:t>
        </w:r>
      </w:hyperlink>
    </w:p>
    <w:sectPr w:rsidR="00A56309" w:rsidRPr="00C43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EC"/>
    <w:multiLevelType w:val="multilevel"/>
    <w:tmpl w:val="2AD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0A20"/>
    <w:multiLevelType w:val="multilevel"/>
    <w:tmpl w:val="347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42602"/>
    <w:multiLevelType w:val="multilevel"/>
    <w:tmpl w:val="8E329A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F13FE"/>
    <w:multiLevelType w:val="multilevel"/>
    <w:tmpl w:val="5AE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0C221A"/>
    <w:multiLevelType w:val="multilevel"/>
    <w:tmpl w:val="F12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A46256"/>
    <w:multiLevelType w:val="multilevel"/>
    <w:tmpl w:val="8E861B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A2B5E"/>
    <w:multiLevelType w:val="multilevel"/>
    <w:tmpl w:val="FFDC3C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53A52"/>
    <w:multiLevelType w:val="multilevel"/>
    <w:tmpl w:val="2AA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B4204"/>
    <w:multiLevelType w:val="multilevel"/>
    <w:tmpl w:val="AD3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57784D"/>
    <w:multiLevelType w:val="multilevel"/>
    <w:tmpl w:val="F9B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E15A9"/>
    <w:multiLevelType w:val="multilevel"/>
    <w:tmpl w:val="72A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93CA7"/>
    <w:multiLevelType w:val="multilevel"/>
    <w:tmpl w:val="3FA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8E3881"/>
    <w:multiLevelType w:val="multilevel"/>
    <w:tmpl w:val="CD3040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44204"/>
    <w:multiLevelType w:val="multilevel"/>
    <w:tmpl w:val="B72A7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7027D"/>
    <w:multiLevelType w:val="multilevel"/>
    <w:tmpl w:val="696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741D8"/>
    <w:multiLevelType w:val="multilevel"/>
    <w:tmpl w:val="688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14330"/>
    <w:multiLevelType w:val="multilevel"/>
    <w:tmpl w:val="8BEC60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6C947B8"/>
    <w:multiLevelType w:val="multilevel"/>
    <w:tmpl w:val="580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3787">
    <w:abstractNumId w:val="6"/>
  </w:num>
  <w:num w:numId="2" w16cid:durableId="2067757612">
    <w:abstractNumId w:val="13"/>
  </w:num>
  <w:num w:numId="3" w16cid:durableId="386227239">
    <w:abstractNumId w:val="0"/>
  </w:num>
  <w:num w:numId="4" w16cid:durableId="1168866170">
    <w:abstractNumId w:val="9"/>
  </w:num>
  <w:num w:numId="5" w16cid:durableId="210387940">
    <w:abstractNumId w:val="1"/>
  </w:num>
  <w:num w:numId="6" w16cid:durableId="2086875166">
    <w:abstractNumId w:val="12"/>
  </w:num>
  <w:num w:numId="7" w16cid:durableId="1057511274">
    <w:abstractNumId w:val="16"/>
  </w:num>
  <w:num w:numId="8" w16cid:durableId="407383378">
    <w:abstractNumId w:val="7"/>
  </w:num>
  <w:num w:numId="9" w16cid:durableId="458260080">
    <w:abstractNumId w:val="17"/>
  </w:num>
  <w:num w:numId="10" w16cid:durableId="58750554">
    <w:abstractNumId w:val="2"/>
  </w:num>
  <w:num w:numId="11" w16cid:durableId="1919630766">
    <w:abstractNumId w:val="3"/>
  </w:num>
  <w:num w:numId="12" w16cid:durableId="780690514">
    <w:abstractNumId w:val="10"/>
  </w:num>
  <w:num w:numId="13" w16cid:durableId="1585800201">
    <w:abstractNumId w:val="15"/>
  </w:num>
  <w:num w:numId="14" w16cid:durableId="333801141">
    <w:abstractNumId w:val="14"/>
  </w:num>
  <w:num w:numId="15" w16cid:durableId="559561129">
    <w:abstractNumId w:val="4"/>
  </w:num>
  <w:num w:numId="16" w16cid:durableId="1950887266">
    <w:abstractNumId w:val="5"/>
  </w:num>
  <w:num w:numId="17" w16cid:durableId="1495678389">
    <w:abstractNumId w:val="8"/>
  </w:num>
  <w:num w:numId="18" w16cid:durableId="1965038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002633"/>
    <w:rsid w:val="00163C11"/>
    <w:rsid w:val="00515A40"/>
    <w:rsid w:val="009178F2"/>
    <w:rsid w:val="00A56309"/>
    <w:rsid w:val="00B46BCF"/>
    <w:rsid w:val="00C23CCF"/>
    <w:rsid w:val="00C4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A1BF5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pidrive.inpi.gov.br/index.php/s/ckTpEe7HDWE0zxT" TargetMode="External"/><Relationship Id="rId13" Type="http://schemas.openxmlformats.org/officeDocument/2006/relationships/hyperlink" Target="https://inpidrive.inpi.gov.br/index.php/s/2sA9WQVJWDF8G0h" TargetMode="External"/><Relationship Id="rId18" Type="http://schemas.openxmlformats.org/officeDocument/2006/relationships/hyperlink" Target="http://www.planalto.gov.br/ccivil_03/LEIS/L8112cons.htm" TargetMode="External"/><Relationship Id="rId26" Type="http://schemas.openxmlformats.org/officeDocument/2006/relationships/hyperlink" Target="mailto:sougovfrequencia@inpi.gov.b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.gov.br/en/web/dou/-/instrucao-normativa-srt/mgi-n-38-de-20-de-novembro-de-2023-524545982" TargetMode="External"/><Relationship Id="rId7" Type="http://schemas.openxmlformats.org/officeDocument/2006/relationships/hyperlink" Target="https://inpidrive.inpi.gov.br/index.php/s/1htQ1GuTCHsP0mc" TargetMode="External"/><Relationship Id="rId12" Type="http://schemas.openxmlformats.org/officeDocument/2006/relationships/hyperlink" Target="https://inpidrive.inpi.gov.br/index.php/s/nmDeoqDrgZv1PPx" TargetMode="External"/><Relationship Id="rId17" Type="http://schemas.openxmlformats.org/officeDocument/2006/relationships/hyperlink" Target="https://inpidrive.inpi.gov.br/index.php/s/AkKwXIQ79YyZIJE" TargetMode="External"/><Relationship Id="rId25" Type="http://schemas.openxmlformats.org/officeDocument/2006/relationships/hyperlink" Target="https://inpidrive.inpi.gov.br/index.php/s/uFZPzFrvxvlU6c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v.br/servidor/pt-br/acesso-a-informacao/faq/sou-gov.br/frequencia/perfil-lider/frequencia-perfil-lider" TargetMode="External"/><Relationship Id="rId20" Type="http://schemas.openxmlformats.org/officeDocument/2006/relationships/hyperlink" Target="http://www.planalto.gov.br/ccivil_03/decreto/d1867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pidrive.inpi.gov.br/index.php/s/qbGuUbhWnGaTdc6" TargetMode="External"/><Relationship Id="rId11" Type="http://schemas.openxmlformats.org/officeDocument/2006/relationships/hyperlink" Target="https://www.in.gov.br/en/web/dou/-/portaria-srt/mgi-n-7.486-de-4-de-setembro-de-2025-653173662" TargetMode="External"/><Relationship Id="rId24" Type="http://schemas.openxmlformats.org/officeDocument/2006/relationships/hyperlink" Target="https://www.in.gov.br/en/web/dou/-/instrucao-normativa-sgp/sedgg/me-n-125-de-3-de-dezembro-de-2020-294325234" TargetMode="External"/><Relationship Id="rId5" Type="http://schemas.openxmlformats.org/officeDocument/2006/relationships/hyperlink" Target="mailto:sougovfrequencia@inpi.gov.br" TargetMode="External"/><Relationship Id="rId15" Type="http://schemas.openxmlformats.org/officeDocument/2006/relationships/hyperlink" Target="https://www.gov.br/servidor/pt-br/acesso-a-informacao/faq/sou-gov.br/frequencia/frequencia-perfil-servidor" TargetMode="External"/><Relationship Id="rId23" Type="http://schemas.openxmlformats.org/officeDocument/2006/relationships/hyperlink" Target="https://www.in.gov.br/en/web/dou/-/instrucao-normativa-sgp/sedgg/me-n-125-de-3-de-dezembro-de-2020-29432523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gov.br/servidor/pt-br/acesso-a-informacao/faq/sou-gov.br/frequencia/ocorrencias-para-registros-manuais-lider" TargetMode="External"/><Relationship Id="rId19" Type="http://schemas.openxmlformats.org/officeDocument/2006/relationships/hyperlink" Target="http://www.planalto.gov.br/ccivil_03/decreto/D1590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servidor/pt-br/acesso-a-informacao/faq/sou-gov.br/frequencia/ocorrencias-para-registros-manuais-servidor" TargetMode="External"/><Relationship Id="rId14" Type="http://schemas.openxmlformats.org/officeDocument/2006/relationships/hyperlink" Target="https://inpidrive.inpi.gov.br/index.php/s/so2vXAoMAG8WsFb" TargetMode="External"/><Relationship Id="rId22" Type="http://schemas.openxmlformats.org/officeDocument/2006/relationships/hyperlink" Target="https://www.in.gov.br/en/web/dou/-/instrucao-normativa-srt/mgi-n-34-de-17-de-novembro-de-2023-52424663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1579</Words>
  <Characters>9099</Characters>
  <Application>Microsoft Office Word</Application>
  <DocSecurity>0</DocSecurity>
  <Lines>174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MENEZES</cp:lastModifiedBy>
  <cp:revision>3</cp:revision>
  <dcterms:created xsi:type="dcterms:W3CDTF">2025-12-04T20:24:00Z</dcterms:created>
  <dcterms:modified xsi:type="dcterms:W3CDTF">2025-12-05T11:00:00Z</dcterms:modified>
</cp:coreProperties>
</file>