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PROGRAMA DE GESTÃO E DESEMPENHO</w:t>
      </w:r>
    </w:p>
    <w:p>
      <w:pPr>
        <w:spacing w:after="240"/>
      </w:pPr>
      <w:r>
        <w:t>O Programa de Gestão e Desempenho (PGD-INPI) na modalidade teletrabalho iniciou-se em 2016 no INPI, a partir da necessidade de se aumentar a produtividade dos servidores com vistas à melhoria da eficiência operacional das áreas finalísticas do Instituto, bem como dos serviços de apoio, visto que é uma ferramenta que disciplina o exercício de atividades em que os resultados possam ser efetivamente mensurados e sua execução realizada pelos participantes.</w:t>
      </w:r>
    </w:p>
    <w:p>
      <w:pPr>
        <w:pStyle w:val="Heading2"/>
      </w:pPr>
      <w:r>
        <w:t>O QUE É?</w:t>
      </w:r>
    </w:p>
    <w:p>
      <w:r>
        <w:t>O Programa de Gestão e Desempenho (PGD-INPI) na modalidade teletrabalho iniciou-se em 2016 no INPI, a partir da necessidade de se aumentar a produtividade dos servidores com vistas à melhoria da eficiência operacional das áreas finalísticas do Instituto, bem como dos serviços de apoio, visto que é uma ferramenta que disciplina o exercício de atividades em que os resultados possam ser efetivamente mensurados e sua execução realizada pelos participantes.</w:t>
      </w:r>
    </w:p>
    <w:p>
      <w:pPr>
        <w:pStyle w:val="Heading2"/>
      </w:pPr>
      <w:r>
        <w:t>QUEM TEM DIREITO?</w:t>
      </w:r>
    </w:p>
    <w:p>
      <w:r>
        <w:t>Servidores ativos do INPI.</w:t>
      </w:r>
    </w:p>
    <w:p>
      <w:pPr>
        <w:pStyle w:val="Heading2"/>
      </w:pPr>
      <w:r>
        <w:t>COMO SOLICITAR?</w:t>
      </w:r>
    </w:p>
    <w:p>
      <w:pPr>
        <w:pStyle w:val="ListNumber"/>
      </w:pPr>
      <w:r>
        <w:t>Entre em contato com a área responsável para orientações.</w:t>
      </w:r>
    </w:p>
    <w:p>
      <w:pPr>
        <w:pStyle w:val="Heading2"/>
      </w:pPr>
      <w:r>
        <w:t>PRAZOS</w:t>
      </w:r>
    </w:p>
    <w:p>
      <w:r>
        <w:t>Consulte a legislação ou entre em contato para informações sobre prazos.</w:t>
      </w:r>
    </w:p>
    <w:p>
      <w:pPr>
        <w:pStyle w:val="Heading2"/>
      </w:pPr>
      <w:r>
        <w:t>DOCUMENTAÇÃO NECESSÁRIA</w:t>
      </w:r>
    </w:p>
    <w:p>
      <w:pPr>
        <w:pStyle w:val="ListBullet"/>
      </w:pPr>
      <w:r>
        <w:t>Documentação específica conforme o caso.</w:t>
      </w:r>
    </w:p>
    <w:p>
      <w:pPr>
        <w:pStyle w:val="Heading2"/>
      </w:pPr>
      <w:r>
        <w:t>LEGISLAÇÃO</w:t>
      </w:r>
    </w:p>
    <w:p>
      <w:pPr>
        <w:pStyle w:val="ListBullet"/>
      </w:pPr>
      <w:r>
        <w:t>Acesse AQUI como realizar o registro no SOUGOV do PGD de servidor(a) da equipe, mediante publicação de Portaria de concessão.</w:t>
      </w:r>
      <w:r>
        <w:t xml:space="preserve"> </w:t>
      </w:r>
      <w:hyperlink r:id="rId9">
        <w:r>
          <w:rPr>
            <w:color w:val="0563C1"/>
            <w:u w:val="single"/>
          </w:rPr>
          <w:t>AQUI</w:t>
        </w:r>
      </w:hyperlink>
      <w:r>
        <w:t xml:space="preserve"> </w:t>
      </w:r>
      <w:hyperlink r:id="rId10">
        <w:r>
          <w:rPr>
            <w:color w:val="0563C1"/>
            <w:u w:val="single"/>
          </w:rPr>
          <w:t>AQUI</w:t>
        </w:r>
      </w:hyperlink>
      <w:r>
        <w:t xml:space="preserve"> </w:t>
      </w:r>
      <w:hyperlink r:id="rId11">
        <w:r>
          <w:rPr>
            <w:color w:val="0563C1"/>
            <w:u w:val="single"/>
          </w:rPr>
          <w:t>AQUI</w:t>
        </w:r>
      </w:hyperlink>
      <w:r>
        <w:t xml:space="preserve"> </w:t>
      </w:r>
      <w:hyperlink r:id="rId12">
        <w:r>
          <w:rPr>
            <w:color w:val="0563C1"/>
            <w:u w:val="single"/>
          </w:rPr>
          <w:t>AQUI</w:t>
        </w:r>
      </w:hyperlink>
      <w:r>
        <w:t xml:space="preserve"> </w:t>
      </w:r>
      <w:hyperlink r:id="rId13">
        <w:r>
          <w:rPr>
            <w:color w:val="0563C1"/>
            <w:u w:val="single"/>
          </w:rPr>
          <w:t>AQUI</w:t>
        </w:r>
      </w:hyperlink>
      <w:r>
        <w:t xml:space="preserve"> </w:t>
      </w:r>
      <w:hyperlink r:id="rId14">
        <w:r>
          <w:rPr>
            <w:color w:val="0563C1"/>
            <w:u w:val="single"/>
          </w:rPr>
          <w:t>AQUI</w:t>
        </w:r>
      </w:hyperlink>
      <w:r>
        <w:t xml:space="preserve"> </w:t>
      </w:r>
      <w:hyperlink r:id="rId15">
        <w:r>
          <w:rPr>
            <w:color w:val="0563C1"/>
            <w:u w:val="single"/>
          </w:rPr>
          <w:t>AQUI</w:t>
        </w:r>
      </w:hyperlink>
      <w:r>
        <w:t xml:space="preserve"> </w:t>
      </w:r>
      <w:hyperlink r:id="rId16">
        <w:r>
          <w:rPr>
            <w:color w:val="0563C1"/>
            <w:u w:val="single"/>
          </w:rPr>
          <w:t>AQUI</w:t>
        </w:r>
      </w:hyperlink>
      <w:r>
        <w:t xml:space="preserve"> </w:t>
      </w:r>
      <w:hyperlink r:id="rId17">
        <w:r>
          <w:rPr>
            <w:color w:val="0563C1"/>
            <w:u w:val="single"/>
          </w:rPr>
          <w:t>AQUI</w:t>
        </w:r>
      </w:hyperlink>
      <w:r>
        <w:t xml:space="preserve"> </w:t>
      </w:r>
      <w:hyperlink r:id="rId18">
        <w:r>
          <w:rPr>
            <w:color w:val="0563C1"/>
            <w:u w:val="single"/>
          </w:rPr>
          <w:t>AQUI</w:t>
        </w:r>
      </w:hyperlink>
      <w:r>
        <w:t xml:space="preserve"> </w:t>
      </w:r>
      <w:hyperlink r:id="rId19">
        <w:r>
          <w:rPr>
            <w:color w:val="0563C1"/>
            <w:u w:val="single"/>
          </w:rPr>
          <w:t>AQUI</w:t>
        </w:r>
      </w:hyperlink>
      <w:r>
        <w:t xml:space="preserve"> </w:t>
      </w:r>
      <w:hyperlink r:id="rId20">
        <w:r>
          <w:rPr>
            <w:color w:val="0563C1"/>
            <w:u w:val="single"/>
          </w:rPr>
          <w:t>AQUI</w:t>
        </w:r>
      </w:hyperlink>
      <w:r>
        <w:t xml:space="preserve"> </w:t>
      </w:r>
      <w:hyperlink r:id="rId21">
        <w:r>
          <w:rPr>
            <w:color w:val="0563C1"/>
            <w:u w:val="single"/>
          </w:rPr>
          <w:t>AQUI</w:t>
        </w:r>
      </w:hyperlink>
    </w:p>
    <w:p>
      <w:pPr>
        <w:pStyle w:val="Heading2"/>
      </w:pPr>
      <w:r>
        <w:t>DÚVIDAS FREQUENTES</w:t>
      </w:r>
    </w:p>
    <w:p>
      <w:r>
        <w:t>• Acesse AQUI a apresentação sobre o novo sistema.</w:t>
      </w:r>
    </w:p>
    <w:p>
      <w:r>
        <w:t>• Acesse AQUI o passo a passo para criação de um Plano de Entregas (unidade).</w:t>
      </w:r>
    </w:p>
    <w:p>
      <w:r>
        <w:t>• Acesse AQUI o passo a passo para criação de um Plano de Trabalho (servidor).</w:t>
      </w:r>
    </w:p>
    <w:p>
      <w:r>
        <w:t>• Acesse AQUI como realizar o registro de execução de um Plano de Trabalho.</w:t>
      </w:r>
    </w:p>
    <w:p>
      <w:r>
        <w:t>• Acesse AQUI como avaliar um Plano de Trabalho.</w:t>
      </w:r>
    </w:p>
    <w:p>
      <w:r>
        <w:t>• Acesse AQUI como realizar o registro de execução de um Plano de Entregas.</w:t>
      </w:r>
    </w:p>
    <w:p>
      <w:r>
        <w:t>• Acesse AQUI como realizar a Correção dos Afastamentos.</w:t>
      </w:r>
    </w:p>
    <w:p>
      <w:r>
        <w:t>• Acesse AQUI como realizar a Correção dos Registros de Execução.</w:t>
      </w:r>
    </w:p>
    <w:p>
      <w:r>
        <w:t>• Acesse AQUI como realizar o registro no SOUGOV do PGD de servidor(a) da equipe, mediante publicação de Portaria de concessão.</w:t>
      </w:r>
    </w:p>
    <w:p>
      <w:r>
        <w:t>• Acesse AQUI as orientações sobre o usufruto e a compensação de horas no Petrvs.</w:t>
      </w:r>
    </w:p>
    <w:p>
      <w:pPr>
        <w:pStyle w:val="Heading2"/>
      </w:pPr>
      <w:r>
        <w:t>CONTATO</w:t>
      </w:r>
    </w:p>
    <w:p>
      <w:r>
        <w:t>E-mail: cgrh@inpi.gov.br</w:t>
      </w:r>
    </w:p>
    <w:p>
      <w:r>
        <w:t>Telefone: Consulte a intranet do INPI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67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powerbi.com/view?r=eyJrIjoiZDZjZjdkZjYtMjY1OS00YjkyLTk5NzQtZTllZGY5NzE1MzNlIiwidCI6IjU4MTVmODA4LTYwOTEtNDdiZC1hY2FiLTMwYzA4ZmU3YjlmMiJ9" TargetMode="External"/><Relationship Id="rId10" Type="http://schemas.openxmlformats.org/officeDocument/2006/relationships/hyperlink" Target="https://inpidrive.inpi.gov.br/index.php/s/SJaLpq2KEO4sjKr" TargetMode="External"/><Relationship Id="rId11" Type="http://schemas.openxmlformats.org/officeDocument/2006/relationships/hyperlink" Target="https://www.gov.br/servidor/pt-br/assuntos/programa-de-gestao/nova-in-2023/faq" TargetMode="External"/><Relationship Id="rId12" Type="http://schemas.openxmlformats.org/officeDocument/2006/relationships/hyperlink" Target="https://inpidrive.inpi.gov.br/index.php/s/2ciFtkB68pf15FG" TargetMode="External"/><Relationship Id="rId13" Type="http://schemas.openxmlformats.org/officeDocument/2006/relationships/hyperlink" Target="https://inpidrive.inpi.gov.br/index.php/s/nLHDzRqtpJ80NcD" TargetMode="External"/><Relationship Id="rId14" Type="http://schemas.openxmlformats.org/officeDocument/2006/relationships/hyperlink" Target="https://inpidrive.inpi.gov.br/index.php/s/XWiNtRG67x8HdQt" TargetMode="External"/><Relationship Id="rId15" Type="http://schemas.openxmlformats.org/officeDocument/2006/relationships/hyperlink" Target="https://inpidrive.inpi.gov.br/index.php/s/h2eWnV1fOwml9gv" TargetMode="External"/><Relationship Id="rId16" Type="http://schemas.openxmlformats.org/officeDocument/2006/relationships/hyperlink" Target="https://inpidrive.inpi.gov.br/index.php/s/fDb7rS4zMKrQmha" TargetMode="External"/><Relationship Id="rId17" Type="http://schemas.openxmlformats.org/officeDocument/2006/relationships/hyperlink" Target="https://inpidrive.inpi.gov.br/index.php/s/v0EeZuVGHaCo8j8" TargetMode="External"/><Relationship Id="rId18" Type="http://schemas.openxmlformats.org/officeDocument/2006/relationships/hyperlink" Target="https://inpidrive.inpi.gov.br/index.php/s/fVo6BRpaeJOhG2I" TargetMode="External"/><Relationship Id="rId19" Type="http://schemas.openxmlformats.org/officeDocument/2006/relationships/hyperlink" Target="https://inpidrive.inpi.gov.br/index.php/s/1E7fKmp5Ef4uhi1" TargetMode="External"/><Relationship Id="rId20" Type="http://schemas.openxmlformats.org/officeDocument/2006/relationships/hyperlink" Target="https://inpidrive.inpi.gov.br/index.php/s/5djf8doY51vje88" TargetMode="External"/><Relationship Id="rId21" Type="http://schemas.openxmlformats.org/officeDocument/2006/relationships/hyperlink" Target="http://intranet.inpi.gov.br/images/CGRH/PDF/Usufruto%20e%20compensacao%20de%20carga%20horaria%20-%20Petrv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