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REMOÇÃO</w:t>
      </w:r>
    </w:p>
    <w:p>
      <w:pPr>
        <w:spacing w:after="240"/>
      </w:pPr>
      <w:r>
        <w:t>Remoção a pedido</w:t>
      </w:r>
    </w:p>
    <w:p>
      <w:pPr>
        <w:pStyle w:val="Heading2"/>
      </w:pPr>
      <w:r>
        <w:t>O QUE É?</w:t>
      </w:r>
    </w:p>
    <w:p>
      <w:r>
        <w:t>Informações sobre a natureza e objetivo deste serviço.</w:t>
      </w:r>
    </w:p>
    <w:p>
      <w:pPr>
        <w:pStyle w:val="Heading2"/>
      </w:pPr>
      <w:r>
        <w:t>QUEM TEM DIREITO?</w:t>
      </w:r>
    </w:p>
    <w:p>
      <w:r>
        <w:t>Servidores ativos do INPI.</w:t>
      </w:r>
    </w:p>
    <w:p>
      <w:pPr>
        <w:pStyle w:val="Heading2"/>
      </w:pPr>
      <w:r>
        <w:t>COMO SOLICITAR?</w:t>
      </w:r>
    </w:p>
    <w:p>
      <w:pPr>
        <w:pStyle w:val="ListNumber"/>
      </w:pPr>
      <w:r>
        <w:t>Entre em contato com a área responsável para orientações.</w:t>
      </w:r>
    </w:p>
    <w:p>
      <w:pPr>
        <w:pStyle w:val="Heading2"/>
      </w:pPr>
      <w:r>
        <w:t>PRAZOS</w:t>
      </w:r>
    </w:p>
    <w:p>
      <w:r>
        <w:t>Consulte a legislação ou entre em contato para informações sobre prazos.</w:t>
      </w:r>
    </w:p>
    <w:p>
      <w:pPr>
        <w:pStyle w:val="Heading2"/>
      </w:pPr>
      <w:r>
        <w:t>DOCUMENTAÇÃO NECESSÁRIA</w:t>
      </w:r>
    </w:p>
    <w:p>
      <w:pPr>
        <w:pStyle w:val="ListBullet"/>
      </w:pPr>
      <w:r>
        <w:t>Como requerer: deverá ser aberto processo no SEI pela unidade requerente do processo seletivo, remetido à aprovação do dirigente máximo da unidade e, após, enviado ao SECAD para orientações acerca da elaboração do edital de seleção e acompanhamento de todo o processo.</w:t>
      </w:r>
    </w:p>
    <w:p>
      <w:pPr>
        <w:pStyle w:val="Heading2"/>
      </w:pPr>
      <w:r>
        <w:t>LEGISLAÇÃO</w:t>
      </w:r>
    </w:p>
    <w:p>
      <w:pPr>
        <w:pStyle w:val="ListBullet"/>
      </w:pPr>
      <w:r>
        <w:t>Previsão legal: art. 36, parágrafo único, inciso I, da Lei nº 8112/1990 e Instrução Normativa INPI nº 39/2013. Nota técnica nº09 CGRH/DILEG: https://inpidrive.inpi.gov.br/index.php/s/wx88JCbfRyJeBOm</w:t>
      </w:r>
      <w:r>
        <w:t xml:space="preserve"> </w:t>
      </w:r>
      <w:hyperlink r:id="rId9">
        <w:r>
          <w:rPr>
            <w:color w:val="0563C1"/>
            <w:u w:val="single"/>
          </w:rPr>
          <w:t>https://inpidrive.inpi.gov.br/index.php/s/wx88JCbfRyJeBOm</w:t>
        </w:r>
      </w:hyperlink>
    </w:p>
    <w:p>
      <w:pPr>
        <w:pStyle w:val="ListBullet"/>
      </w:pPr>
      <w:r>
        <w:t>Previsão legal: art. 36, parágrafo único, inciso III, alínea “c”, da Lei nº 8112/1990 e Instrução Normativa INPI nº 39/2013. Nota técnica nº09 CGRH/DILEG: https://inpidrive.inpi.gov.br/index.php/s/wx88JCbfRyJeBOm</w:t>
      </w:r>
      <w:r>
        <w:t xml:space="preserve"> </w:t>
      </w:r>
      <w:hyperlink r:id="rId9">
        <w:r>
          <w:rPr>
            <w:color w:val="0563C1"/>
            <w:u w:val="single"/>
          </w:rPr>
          <w:t>https://inpidrive.inpi.gov.br/index.php/s/wx88JCbfRyJeBOm</w:t>
        </w:r>
      </w:hyperlink>
    </w:p>
    <w:p>
      <w:pPr>
        <w:pStyle w:val="Heading2"/>
      </w:pPr>
      <w:r>
        <w:t>DÚVIDAS FREQUENTES</w:t>
      </w:r>
    </w:p>
    <w:p>
      <w:r>
        <w:t>Para dúvidas, consulte o contato abaixo.</w:t>
      </w:r>
    </w:p>
    <w:p>
      <w:pPr>
        <w:pStyle w:val="Heading2"/>
      </w:pPr>
      <w:r>
        <w:t>CONTATO</w:t>
      </w:r>
    </w:p>
    <w:p>
      <w:r>
        <w:t>E-mail: cgrh@inpi.gov.br</w:t>
      </w:r>
    </w:p>
    <w:p>
      <w:r>
        <w:t>Telefone: Consulte a intranet do INPI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467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0C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pidrive.inpi.gov.br/index.php/s/wx88JCbfRyJeB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