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921FCB" w:rsidP="000653DF">
      <w:pPr>
        <w:pStyle w:val="Ttulo1"/>
      </w:pPr>
      <w:bookmarkStart w:id="0" w:name="_GoBack"/>
      <w:r>
        <w:t>Escopo</w:t>
      </w:r>
    </w:p>
    <w:bookmarkEnd w:id="0"/>
    <w:p w:rsidR="00921FCB" w:rsidRDefault="00921FCB" w:rsidP="00921FCB">
      <w:pPr>
        <w:pStyle w:val="NormalWeb"/>
      </w:pPr>
      <w:r>
        <w:t xml:space="preserve">O escopo, abrangência ou área geográfica do tratamento de dados pessoais no âmbito do INPI é </w:t>
      </w:r>
      <w:r>
        <w:rPr>
          <w:b/>
          <w:bCs/>
          <w:shd w:val="clear" w:color="auto" w:fill="CCE6FF"/>
        </w:rPr>
        <w:t>global</w:t>
      </w:r>
      <w:r>
        <w:t>, à vista do interesse de usuários não residentes no país em obter a concessão de direitos de propriedade industrial no território nacional.</w:t>
      </w:r>
    </w:p>
    <w:p w:rsidR="00102BC3" w:rsidRPr="00F25135" w:rsidRDefault="00921FCB" w:rsidP="00921FCB">
      <w:pPr>
        <w:pStyle w:val="NormalWeb"/>
      </w:pPr>
      <w:r>
        <w:t xml:space="preserve">Nesse sentido, as estatísticas e estudos econômicos disponibilizados no portal eletrônico do INPI apresentam dados agregados acerca da distribuição territorial dos titulares de dados pessoais requerentes de pedidos de concessão dos mencionados direitos. </w:t>
      </w:r>
    </w:p>
    <w:sectPr w:rsidR="00102BC3" w:rsidRPr="00F251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3A7AE7"/>
    <w:rsid w:val="00515A40"/>
    <w:rsid w:val="008E37E3"/>
    <w:rsid w:val="009178F2"/>
    <w:rsid w:val="00921FCB"/>
    <w:rsid w:val="009F1F47"/>
    <w:rsid w:val="00F25135"/>
    <w:rsid w:val="00F8387B"/>
    <w:rsid w:val="00FB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2026-03-10T15:40:00Z</dcterms:created>
  <dcterms:modified xsi:type="dcterms:W3CDTF">2026-03-10T15:40:00Z</dcterms:modified>
</cp:coreProperties>
</file>