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AE7" w:rsidRPr="003A7AE7" w:rsidRDefault="003A7AE7" w:rsidP="003A7AE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A7AE7">
        <w:rPr>
          <w:rFonts w:ascii="Times New Roman" w:eastAsia="Times New Roman" w:hAnsi="Times New Roman" w:cs="Times New Roman"/>
          <w:b/>
          <w:bCs/>
          <w:kern w:val="36"/>
          <w:sz w:val="48"/>
          <w:szCs w:val="48"/>
          <w:lang w:eastAsia="pt-BR"/>
        </w:rPr>
        <w:t>Gestão</w:t>
      </w:r>
    </w:p>
    <w:p w:rsidR="003A7AE7" w:rsidRPr="003A7AE7" w:rsidRDefault="003A7AE7" w:rsidP="003A7AE7">
      <w:pPr>
        <w:spacing w:before="100" w:beforeAutospacing="1" w:after="100" w:afterAutospacing="1" w:line="240" w:lineRule="auto"/>
        <w:rPr>
          <w:rFonts w:ascii="Times New Roman" w:eastAsia="Times New Roman" w:hAnsi="Times New Roman" w:cs="Times New Roman"/>
          <w:sz w:val="24"/>
          <w:szCs w:val="24"/>
          <w:lang w:eastAsia="pt-BR"/>
        </w:rPr>
      </w:pPr>
      <w:bookmarkStart w:id="0" w:name="_GoBack"/>
      <w:bookmarkEnd w:id="0"/>
      <w:r w:rsidRPr="003A7AE7">
        <w:rPr>
          <w:rFonts w:ascii="Times New Roman" w:eastAsia="Times New Roman" w:hAnsi="Times New Roman" w:cs="Times New Roman"/>
          <w:sz w:val="24"/>
          <w:szCs w:val="24"/>
          <w:lang w:eastAsia="pt-BR"/>
        </w:rPr>
        <w:t xml:space="preserve">A gestão do Programa de Governança em Privacidade do INPI é realizada pelo encarregado pelo tratamento de dados pessoais, designado pela </w:t>
      </w:r>
      <w:hyperlink r:id="rId4" w:tgtFrame="_blank" w:history="1">
        <w:r w:rsidRPr="003A7AE7">
          <w:rPr>
            <w:rFonts w:ascii="Times New Roman" w:eastAsia="Times New Roman" w:hAnsi="Times New Roman" w:cs="Times New Roman"/>
            <w:b/>
            <w:bCs/>
            <w:color w:val="0000FF"/>
            <w:sz w:val="24"/>
            <w:szCs w:val="24"/>
            <w:u w:val="single"/>
            <w:lang w:eastAsia="pt-BR"/>
          </w:rPr>
          <w:t>Portaria INPI/PR nº 324, de 22 de outubro de 2020</w:t>
        </w:r>
      </w:hyperlink>
      <w:r w:rsidRPr="003A7AE7">
        <w:rPr>
          <w:rFonts w:ascii="Times New Roman" w:eastAsia="Times New Roman" w:hAnsi="Times New Roman" w:cs="Times New Roman"/>
          <w:sz w:val="24"/>
          <w:szCs w:val="24"/>
          <w:lang w:eastAsia="pt-BR"/>
        </w:rPr>
        <w:t xml:space="preserve">, com o apoio da Força-Tarefa de Proteção de Dados Pessoais (FTPDP), instituída pela </w:t>
      </w:r>
      <w:hyperlink r:id="rId5" w:tgtFrame="_blank" w:history="1">
        <w:r w:rsidRPr="003A7AE7">
          <w:rPr>
            <w:rFonts w:ascii="Times New Roman" w:eastAsia="Times New Roman" w:hAnsi="Times New Roman" w:cs="Times New Roman"/>
            <w:b/>
            <w:bCs/>
            <w:color w:val="0000FF"/>
            <w:sz w:val="24"/>
            <w:szCs w:val="24"/>
            <w:u w:val="single"/>
            <w:lang w:eastAsia="pt-BR"/>
          </w:rPr>
          <w:t>Portaria INPI/PR nº 28, de 2 de junho de 2021</w:t>
        </w:r>
      </w:hyperlink>
      <w:r w:rsidRPr="003A7AE7">
        <w:rPr>
          <w:rFonts w:ascii="Times New Roman" w:eastAsia="Times New Roman" w:hAnsi="Times New Roman" w:cs="Times New Roman"/>
          <w:sz w:val="24"/>
          <w:szCs w:val="24"/>
          <w:lang w:eastAsia="pt-BR"/>
        </w:rPr>
        <w:t>.</w:t>
      </w:r>
    </w:p>
    <w:p w:rsidR="003A7AE7" w:rsidRPr="003A7AE7" w:rsidRDefault="003A7AE7" w:rsidP="003A7AE7">
      <w:pPr>
        <w:spacing w:before="100" w:beforeAutospacing="1" w:after="100" w:afterAutospacing="1" w:line="240" w:lineRule="auto"/>
        <w:rPr>
          <w:rFonts w:ascii="Times New Roman" w:eastAsia="Times New Roman" w:hAnsi="Times New Roman" w:cs="Times New Roman"/>
          <w:sz w:val="24"/>
          <w:szCs w:val="24"/>
          <w:lang w:eastAsia="pt-BR"/>
        </w:rPr>
      </w:pPr>
      <w:r w:rsidRPr="003A7AE7">
        <w:rPr>
          <w:rFonts w:ascii="Times New Roman" w:eastAsia="Times New Roman" w:hAnsi="Times New Roman" w:cs="Times New Roman"/>
          <w:sz w:val="24"/>
          <w:szCs w:val="24"/>
          <w:lang w:eastAsia="pt-BR"/>
        </w:rPr>
        <w:t>No cenário específico da operação institucional, o encarregado pelo tratamento de dados pessoais e a FTPDP têm:</w:t>
      </w:r>
    </w:p>
    <w:p w:rsidR="003A7AE7" w:rsidRPr="003A7AE7" w:rsidRDefault="003A7AE7" w:rsidP="003A7AE7">
      <w:pPr>
        <w:shd w:val="clear" w:color="auto" w:fill="CCE6FF"/>
        <w:spacing w:after="300" w:line="240" w:lineRule="auto"/>
        <w:ind w:left="450" w:right="450"/>
        <w:rPr>
          <w:rFonts w:ascii="Times New Roman" w:eastAsia="Times New Roman" w:hAnsi="Times New Roman" w:cs="Times New Roman"/>
          <w:b/>
          <w:bCs/>
          <w:lang w:eastAsia="pt-BR"/>
        </w:rPr>
      </w:pPr>
      <w:r w:rsidRPr="003A7AE7">
        <w:rPr>
          <w:rFonts w:ascii="Times New Roman" w:eastAsia="Times New Roman" w:hAnsi="Times New Roman" w:cs="Times New Roman"/>
          <w:b/>
          <w:bCs/>
          <w:lang w:eastAsia="pt-BR"/>
        </w:rPr>
        <w:t>I — acesso para comunicação direta com os responsáveis pelas tomadas de decisão estratégicas do Instituto, garantindo que não haja nenhuma espécie de “filtro” nem “atraso” (intencional ou não) em relação às comunicações em matéria de privacidade e proteção de dados;</w:t>
      </w:r>
      <w:r w:rsidRPr="003A7AE7">
        <w:rPr>
          <w:rFonts w:ascii="Times New Roman" w:eastAsia="Times New Roman" w:hAnsi="Times New Roman" w:cs="Times New Roman"/>
          <w:b/>
          <w:bCs/>
          <w:lang w:eastAsia="pt-BR"/>
        </w:rPr>
        <w:br/>
        <w:t>II — autonomia concreta para a condução do Programa de Governança em Privacidade do INPI; e</w:t>
      </w:r>
      <w:r w:rsidRPr="003A7AE7">
        <w:rPr>
          <w:rFonts w:ascii="Times New Roman" w:eastAsia="Times New Roman" w:hAnsi="Times New Roman" w:cs="Times New Roman"/>
          <w:b/>
          <w:bCs/>
          <w:lang w:eastAsia="pt-BR"/>
        </w:rPr>
        <w:br/>
        <w:t>III — isenção de quaisquer conflitos de interesse relacionados à sua posição na instituição.</w:t>
      </w:r>
    </w:p>
    <w:p w:rsidR="003A7AE7" w:rsidRPr="003A7AE7" w:rsidRDefault="003A7AE7" w:rsidP="003A7AE7">
      <w:pPr>
        <w:spacing w:before="100" w:beforeAutospacing="1" w:after="100" w:afterAutospacing="1" w:line="240" w:lineRule="auto"/>
        <w:rPr>
          <w:rFonts w:ascii="Times New Roman" w:eastAsia="Times New Roman" w:hAnsi="Times New Roman" w:cs="Times New Roman"/>
          <w:sz w:val="24"/>
          <w:szCs w:val="24"/>
          <w:lang w:eastAsia="pt-BR"/>
        </w:rPr>
      </w:pPr>
      <w:r w:rsidRPr="003A7AE7">
        <w:rPr>
          <w:rFonts w:ascii="Times New Roman" w:eastAsia="Times New Roman" w:hAnsi="Times New Roman" w:cs="Times New Roman"/>
          <w:sz w:val="24"/>
          <w:szCs w:val="24"/>
          <w:lang w:eastAsia="pt-BR"/>
        </w:rPr>
        <w:t xml:space="preserve">Por sua vez, o Comitê de Governança Digital (CGD), introduzido pela </w:t>
      </w:r>
      <w:hyperlink r:id="rId6" w:tgtFrame="_blank" w:history="1">
        <w:r w:rsidRPr="003A7AE7">
          <w:rPr>
            <w:rFonts w:ascii="Times New Roman" w:eastAsia="Times New Roman" w:hAnsi="Times New Roman" w:cs="Times New Roman"/>
            <w:b/>
            <w:bCs/>
            <w:color w:val="0000FF"/>
            <w:sz w:val="24"/>
            <w:szCs w:val="24"/>
            <w:u w:val="single"/>
            <w:lang w:eastAsia="pt-BR"/>
          </w:rPr>
          <w:t>Portaria INPI/PR nº 14, de 4 de março de 2022</w:t>
        </w:r>
      </w:hyperlink>
      <w:r w:rsidRPr="003A7AE7">
        <w:rPr>
          <w:rFonts w:ascii="Times New Roman" w:eastAsia="Times New Roman" w:hAnsi="Times New Roman" w:cs="Times New Roman"/>
          <w:sz w:val="24"/>
          <w:szCs w:val="24"/>
          <w:lang w:eastAsia="pt-BR"/>
        </w:rPr>
        <w:t>, representa importante avanço na proteção à privacidade e no cuidado adequado com o tratamento de dados pessoais no contexto institucional.</w:t>
      </w:r>
    </w:p>
    <w:p w:rsidR="003A7AE7" w:rsidRPr="003A7AE7" w:rsidRDefault="003A7AE7" w:rsidP="003A7AE7">
      <w:pPr>
        <w:spacing w:before="100" w:beforeAutospacing="1" w:after="100" w:afterAutospacing="1" w:line="240" w:lineRule="auto"/>
        <w:rPr>
          <w:rFonts w:ascii="Times New Roman" w:eastAsia="Times New Roman" w:hAnsi="Times New Roman" w:cs="Times New Roman"/>
          <w:sz w:val="24"/>
          <w:szCs w:val="24"/>
          <w:lang w:eastAsia="pt-BR"/>
        </w:rPr>
      </w:pPr>
      <w:r w:rsidRPr="003A7AE7">
        <w:rPr>
          <w:rFonts w:ascii="Times New Roman" w:eastAsia="Times New Roman" w:hAnsi="Times New Roman" w:cs="Times New Roman"/>
          <w:sz w:val="24"/>
          <w:szCs w:val="24"/>
          <w:lang w:eastAsia="pt-BR"/>
        </w:rPr>
        <w:t>Com amparo nos Guias Operacionais para Adequação à LGPD, desenvolvidos pela Secretaria de Governo Digital, este Programa foi submetido à avaliação do CGD para aferição da correta definição das premissas, diretrizes e conjunto de ações necessários a fomentar a cultura de proteção de dados no âmbito do Instituto, apoiar a evolução da maturidade organizacional no tratamento e salvaguarda dos dados pessoais, e materializar as medidas de proteção dos dados pessoais que circulam pelos serviços prestados pelo INPI.</w:t>
      </w:r>
    </w:p>
    <w:p w:rsidR="003A7AE7" w:rsidRPr="003A7AE7" w:rsidRDefault="003A7AE7" w:rsidP="003A7AE7">
      <w:pPr>
        <w:spacing w:before="100" w:beforeAutospacing="1" w:after="100" w:afterAutospacing="1" w:line="240" w:lineRule="auto"/>
        <w:rPr>
          <w:rFonts w:ascii="Times New Roman" w:eastAsia="Times New Roman" w:hAnsi="Times New Roman" w:cs="Times New Roman"/>
          <w:sz w:val="24"/>
          <w:szCs w:val="24"/>
          <w:lang w:eastAsia="pt-BR"/>
        </w:rPr>
      </w:pPr>
      <w:r w:rsidRPr="003A7AE7">
        <w:rPr>
          <w:rFonts w:ascii="Times New Roman" w:eastAsia="Times New Roman" w:hAnsi="Times New Roman" w:cs="Times New Roman"/>
          <w:sz w:val="24"/>
          <w:szCs w:val="24"/>
          <w:lang w:eastAsia="pt-BR"/>
        </w:rPr>
        <w:t>Os compromissos e orientações incorporadas ao Programa foram estruturados em capítulos consentâneos com a base legal de tratamento, o exercício dos direitos do titular dos dados pessoais e os padrões de privacidade adotados pelo Poder Executivo federal.</w:t>
      </w:r>
    </w:p>
    <w:p w:rsidR="00102BC3" w:rsidRPr="00F25135" w:rsidRDefault="003A7AE7" w:rsidP="00F25135">
      <w:pPr>
        <w:spacing w:before="100" w:beforeAutospacing="1" w:after="100" w:afterAutospacing="1" w:line="240" w:lineRule="auto"/>
        <w:rPr>
          <w:rFonts w:ascii="Times New Roman" w:eastAsia="Times New Roman" w:hAnsi="Times New Roman" w:cs="Times New Roman"/>
          <w:sz w:val="24"/>
          <w:szCs w:val="24"/>
          <w:lang w:eastAsia="pt-BR"/>
        </w:rPr>
      </w:pPr>
      <w:r w:rsidRPr="003A7AE7">
        <w:rPr>
          <w:rFonts w:ascii="Times New Roman" w:eastAsia="Times New Roman" w:hAnsi="Times New Roman" w:cs="Times New Roman"/>
          <w:sz w:val="24"/>
          <w:szCs w:val="24"/>
          <w:lang w:eastAsia="pt-BR"/>
        </w:rPr>
        <w:t>Tendo em vista o contato inicial e a familiarização com o novo universo da proteção e tratamento de dados pessoais no país, o Programa de Governança em Privacidade de Dados do INPI não abrange nem esgota todos os aspectos da Lei Geral de Proteção de Dados Pessoais, mas tem na sua formulação e publicação a resposta imediata do Instituto na aplicação da legislação protetiva de forma equilibrada, homogênea e atenta aos anseios sociais.</w:t>
      </w:r>
    </w:p>
    <w:sectPr w:rsidR="00102BC3" w:rsidRPr="00F251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9F"/>
    <w:rsid w:val="00102BC3"/>
    <w:rsid w:val="003A7AE7"/>
    <w:rsid w:val="00515A40"/>
    <w:rsid w:val="009178F2"/>
    <w:rsid w:val="00F25135"/>
    <w:rsid w:val="00FB3E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6D3E"/>
  <w15:chartTrackingRefBased/>
  <w15:docId w15:val="{EC7AA4C7-0091-4711-BC24-93844CB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A7A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B3E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3A7AE7"/>
    <w:rPr>
      <w:rFonts w:ascii="Times New Roman" w:eastAsia="Times New Roman" w:hAnsi="Times New Roman" w:cs="Times New Roman"/>
      <w:b/>
      <w:bCs/>
      <w:kern w:val="36"/>
      <w:sz w:val="48"/>
      <w:szCs w:val="48"/>
      <w:lang w:eastAsia="pt-BR"/>
    </w:rPr>
  </w:style>
  <w:style w:type="character" w:customStyle="1" w:styleId="documentpublished">
    <w:name w:val="documentpublished"/>
    <w:basedOn w:val="Fontepargpadro"/>
    <w:rsid w:val="003A7AE7"/>
  </w:style>
  <w:style w:type="character" w:customStyle="1" w:styleId="value">
    <w:name w:val="value"/>
    <w:basedOn w:val="Fontepargpadro"/>
    <w:rsid w:val="003A7AE7"/>
  </w:style>
  <w:style w:type="character" w:customStyle="1" w:styleId="documentmodified">
    <w:name w:val="documentmodified"/>
    <w:basedOn w:val="Fontepargpadro"/>
    <w:rsid w:val="003A7AE7"/>
  </w:style>
  <w:style w:type="character" w:styleId="Hyperlink">
    <w:name w:val="Hyperlink"/>
    <w:basedOn w:val="Fontepargpadro"/>
    <w:uiPriority w:val="99"/>
    <w:semiHidden/>
    <w:unhideWhenUsed/>
    <w:rsid w:val="003A7A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19926">
      <w:bodyDiv w:val="1"/>
      <w:marLeft w:val="0"/>
      <w:marRight w:val="0"/>
      <w:marTop w:val="0"/>
      <w:marBottom w:val="0"/>
      <w:divBdr>
        <w:top w:val="none" w:sz="0" w:space="0" w:color="auto"/>
        <w:left w:val="none" w:sz="0" w:space="0" w:color="auto"/>
        <w:bottom w:val="none" w:sz="0" w:space="0" w:color="auto"/>
        <w:right w:val="none" w:sz="0" w:space="0" w:color="auto"/>
      </w:divBdr>
      <w:divsChild>
        <w:div w:id="673915675">
          <w:marLeft w:val="0"/>
          <w:marRight w:val="0"/>
          <w:marTop w:val="0"/>
          <w:marBottom w:val="0"/>
          <w:divBdr>
            <w:top w:val="none" w:sz="0" w:space="0" w:color="auto"/>
            <w:left w:val="none" w:sz="0" w:space="0" w:color="auto"/>
            <w:bottom w:val="none" w:sz="0" w:space="0" w:color="auto"/>
            <w:right w:val="none" w:sz="0" w:space="0" w:color="auto"/>
          </w:divBdr>
          <w:divsChild>
            <w:div w:id="813334301">
              <w:marLeft w:val="0"/>
              <w:marRight w:val="0"/>
              <w:marTop w:val="0"/>
              <w:marBottom w:val="0"/>
              <w:divBdr>
                <w:top w:val="none" w:sz="0" w:space="0" w:color="auto"/>
                <w:left w:val="none" w:sz="0" w:space="0" w:color="auto"/>
                <w:bottom w:val="none" w:sz="0" w:space="0" w:color="auto"/>
                <w:right w:val="none" w:sz="0" w:space="0" w:color="auto"/>
              </w:divBdr>
            </w:div>
          </w:divsChild>
        </w:div>
        <w:div w:id="416630979">
          <w:marLeft w:val="0"/>
          <w:marRight w:val="0"/>
          <w:marTop w:val="0"/>
          <w:marBottom w:val="0"/>
          <w:divBdr>
            <w:top w:val="none" w:sz="0" w:space="0" w:color="auto"/>
            <w:left w:val="none" w:sz="0" w:space="0" w:color="auto"/>
            <w:bottom w:val="none" w:sz="0" w:space="0" w:color="auto"/>
            <w:right w:val="none" w:sz="0" w:space="0" w:color="auto"/>
          </w:divBdr>
          <w:divsChild>
            <w:div w:id="530411158">
              <w:marLeft w:val="0"/>
              <w:marRight w:val="0"/>
              <w:marTop w:val="0"/>
              <w:marBottom w:val="0"/>
              <w:divBdr>
                <w:top w:val="none" w:sz="0" w:space="0" w:color="auto"/>
                <w:left w:val="none" w:sz="0" w:space="0" w:color="auto"/>
                <w:bottom w:val="none" w:sz="0" w:space="0" w:color="auto"/>
                <w:right w:val="none" w:sz="0" w:space="0" w:color="auto"/>
              </w:divBdr>
              <w:divsChild>
                <w:div w:id="973563505">
                  <w:marLeft w:val="0"/>
                  <w:marRight w:val="0"/>
                  <w:marTop w:val="0"/>
                  <w:marBottom w:val="0"/>
                  <w:divBdr>
                    <w:top w:val="none" w:sz="0" w:space="0" w:color="auto"/>
                    <w:left w:val="none" w:sz="0" w:space="0" w:color="auto"/>
                    <w:bottom w:val="none" w:sz="0" w:space="0" w:color="auto"/>
                    <w:right w:val="none" w:sz="0" w:space="0" w:color="auto"/>
                  </w:divBdr>
                  <w:divsChild>
                    <w:div w:id="1869636643">
                      <w:marLeft w:val="0"/>
                      <w:marRight w:val="0"/>
                      <w:marTop w:val="0"/>
                      <w:marBottom w:val="0"/>
                      <w:divBdr>
                        <w:top w:val="none" w:sz="0" w:space="0" w:color="auto"/>
                        <w:left w:val="none" w:sz="0" w:space="0" w:color="auto"/>
                        <w:bottom w:val="none" w:sz="0" w:space="0" w:color="auto"/>
                        <w:right w:val="none" w:sz="0" w:space="0" w:color="auto"/>
                      </w:divBdr>
                      <w:divsChild>
                        <w:div w:id="1809585360">
                          <w:marLeft w:val="0"/>
                          <w:marRight w:val="0"/>
                          <w:marTop w:val="0"/>
                          <w:marBottom w:val="0"/>
                          <w:divBdr>
                            <w:top w:val="none" w:sz="0" w:space="0" w:color="auto"/>
                            <w:left w:val="none" w:sz="0" w:space="0" w:color="auto"/>
                            <w:bottom w:val="none" w:sz="0" w:space="0" w:color="auto"/>
                            <w:right w:val="none" w:sz="0" w:space="0" w:color="auto"/>
                          </w:divBdr>
                          <w:divsChild>
                            <w:div w:id="16606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8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br/inpi/pt-br/central-de-conteudo/legislacao/arquivos/documentos/2022pr-14.pdf" TargetMode="External"/><Relationship Id="rId5" Type="http://schemas.openxmlformats.org/officeDocument/2006/relationships/hyperlink" Target="https://www.gov.br/inpi/pt-br/governanca/tratamento-de-dados-pessoais/arquivos/documentos/portaria-inpi-pr-no-28-de-2-de-junho-de-2021.pdf" TargetMode="External"/><Relationship Id="rId4" Type="http://schemas.openxmlformats.org/officeDocument/2006/relationships/hyperlink" Target="https://www.gov.br/inpi/pt-br/governanca/tratamento-de-dados-pessoais/arquivos/documentos/portaria-inpi-pr-no-324-de-22-de-outubro-de-2020.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438</Words>
  <Characters>2371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Rego Menezes</cp:lastModifiedBy>
  <cp:revision>1</cp:revision>
  <dcterms:created xsi:type="dcterms:W3CDTF">2026-03-10T14:23:00Z</dcterms:created>
  <dcterms:modified xsi:type="dcterms:W3CDTF">2026-03-10T15:37:00Z</dcterms:modified>
</cp:coreProperties>
</file>