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A912D0" w:rsidP="000653DF">
      <w:pPr>
        <w:pStyle w:val="Ttulo1"/>
      </w:pPr>
      <w:r>
        <w:t>Transferência</w:t>
      </w:r>
    </w:p>
    <w:p w:rsidR="00834493" w:rsidRDefault="00834493" w:rsidP="00834493">
      <w:pPr>
        <w:pStyle w:val="NormalWeb"/>
      </w:pPr>
      <w:r>
        <w:t>A transferência internacional de dados pessoais constitui capítulo à parte da LGPD, sendo admitida somente em casos específicos.</w:t>
      </w:r>
    </w:p>
    <w:p w:rsidR="00834493" w:rsidRDefault="00834493" w:rsidP="00834493">
      <w:pPr>
        <w:pStyle w:val="NormalWeb"/>
      </w:pPr>
      <w:r>
        <w:t>Com efeito, segundo o art. 33 da LGPD, a transferência internacional de dados pessoais é permitida “para países ou organismos internacionais que proporcionem grau de proteção de dados pessoais adequado ao previsto nesta Lei [LGPD], (...) quando a transferência resultar em compromisso assumido em acordo de cooperação internacional” ou ainda “quando a transferência for necessária para a execução de política pública ou atribuição legal do serviço público, sendo dada publicidade”.</w:t>
      </w:r>
    </w:p>
    <w:p w:rsidR="00834493" w:rsidRDefault="00834493" w:rsidP="00834493">
      <w:pPr>
        <w:pStyle w:val="NormalWeb"/>
      </w:pPr>
      <w:r>
        <w:t>É cediço que, não obstante certas distinções, a LGPD teve inspiração no Regulamento Geral sobre Proteção de Dados (GDPR), que disciplina a privacidade e proteção de dados pessoais no âmbito da União Europeia e do Espaço Econômico Europeu.</w:t>
      </w:r>
    </w:p>
    <w:p w:rsidR="00834493" w:rsidRDefault="00834493" w:rsidP="00834493">
      <w:pPr>
        <w:pStyle w:val="NormalWeb"/>
      </w:pPr>
      <w:r>
        <w:t>Além disso, a formalização do acordo de cooperação internacional, em especial, com cláusulas expressas sobre o tratamento dos dados pessoais, oferece a salvaguarda exigida pela legislação vigente.</w:t>
      </w:r>
    </w:p>
    <w:p w:rsidR="00834493" w:rsidRDefault="00834493" w:rsidP="00834493">
      <w:pPr>
        <w:pStyle w:val="NormalWeb"/>
      </w:pPr>
      <w:r>
        <w:t>Nesse sentido, da análise de Cartas de Intenções ou Memorandos de Entendimento, mostra-se relevante verificar se a sua formalização tem por fundamento otimizar a prestação dos serviços públicos da competência do INPI ou atender a ações de natureza de política pública previstas na ENPI, instituída pelo Decreto nº 10.886, de 2021, tendo por eixos estratégicos, entre outros:</w:t>
      </w:r>
    </w:p>
    <w:p w:rsidR="00834493" w:rsidRDefault="00834493" w:rsidP="00834493">
      <w:pPr>
        <w:pStyle w:val="NormalWeb"/>
        <w:shd w:val="clear" w:color="auto" w:fill="CCE6FF"/>
        <w:spacing w:before="0" w:beforeAutospacing="0" w:after="300" w:afterAutospacing="0"/>
        <w:ind w:left="450" w:right="4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 — “fomentar a geração e o uso estratégico da propriedade intelectual em prol do interesse nacional para a promoção da competitividade e do desenvolvimento de negócios no Brasil e no mundo” (Eixo 1 – Propriedade Intelectual para a Competitividade e o Desenvolvimento);</w:t>
      </w:r>
      <w:r>
        <w:rPr>
          <w:b/>
          <w:bCs/>
          <w:sz w:val="22"/>
          <w:szCs w:val="22"/>
        </w:rPr>
        <w:br/>
        <w:t>II — “fomentar a produção de análises prospectivas sobre o uso da PI, com o propósito de identificar tendências tecnológicas, desafios para a sua proteção sobre novas tecnologias e novas formas de se apropriar de criações protegidas por DPI e estimular o uso das bases de dados para apoiar a inovação e a economia criativa” (Eixo 6 – Inteligência e Visão de Futuro); e</w:t>
      </w:r>
      <w:r>
        <w:rPr>
          <w:b/>
          <w:bCs/>
          <w:sz w:val="22"/>
          <w:szCs w:val="22"/>
        </w:rPr>
        <w:br/>
        <w:t>III — “fortalecer a inserção estratégica do Brasil nos foros internacionais de PI, estimular a presença de produções culturais e de inovações brasileiras no exterior e promover ambiente de negócios doméstico favorável à atração de investimentos estrangeiros” (Eixo 7 – Inserção do Brasil no Sistema Global de PI).</w:t>
      </w:r>
    </w:p>
    <w:p w:rsidR="00834493" w:rsidRDefault="00834493" w:rsidP="00834493">
      <w:pPr>
        <w:pStyle w:val="NormalWeb"/>
      </w:pPr>
      <w:r>
        <w:t>Em geral, o compartilhamento e a transferência de dados pessoais sob a guarda do INPI diz respeito a dados já publicados nos meios oficiais de imprensa. Recomenda-se, então, que os documentos que estabeleçam esses mecanismos de intercâmbio de dados pessoais sejam explícitos quanto ao não escopo da cooperação, excluindo, expressamente, a tramitação de dados de natureza pessoal que não tenham sido publicados de acordo com a legislação vigente.</w:t>
      </w:r>
      <w:bookmarkStart w:id="0" w:name="_GoBack"/>
      <w:bookmarkEnd w:id="0"/>
    </w:p>
    <w:sectPr w:rsidR="0083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3A7AE7"/>
    <w:rsid w:val="00402305"/>
    <w:rsid w:val="00515A40"/>
    <w:rsid w:val="00834493"/>
    <w:rsid w:val="008A423C"/>
    <w:rsid w:val="008E37E3"/>
    <w:rsid w:val="009178F2"/>
    <w:rsid w:val="00921FCB"/>
    <w:rsid w:val="009F1F47"/>
    <w:rsid w:val="00A912D0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3</cp:revision>
  <dcterms:created xsi:type="dcterms:W3CDTF">2026-03-10T15:43:00Z</dcterms:created>
  <dcterms:modified xsi:type="dcterms:W3CDTF">2026-03-10T15:43:00Z</dcterms:modified>
</cp:coreProperties>
</file>