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280"/>
        <w:jc w:val="center"/>
      </w:pPr>
      <w:r>
        <w:rPr>
          <w:rFonts w:ascii="Arial" w:cs="Arial" w:eastAsia="Arial" w:hAnsi="Arial"/>
          <w:b/>
          <w:bCs/>
          <w:color w:val="0F172A"/>
          <w:sz w:val="24"/>
          <w:szCs w:val="24"/>
        </w:rPr>
        <w:t xml:space="preserve">DOUTO JUÍZO DE DIREITO DA 3ª VARA CÍVEL  DA COMARCA DE CAPITAL DO ESTADO DO RIO DE JANEIRO.</w:t>
      </w:r>
    </w:p>
    <w:p>
      <w:pPr>
        <w:spacing w:after="100"/>
      </w:pPr>
    </w:p>
    <w:p>
      <w:pPr>
        <w:spacing w:after="200" w:before="140"/>
        <w:jc w:val="right"/>
      </w:pPr>
      <w:r>
        <w:rPr>
          <w:rFonts w:ascii="Arial" w:cs="Arial" w:eastAsia="Arial" w:hAnsi="Arial"/>
          <w:b/>
          <w:bCs/>
          <w:color w:val="0F172A"/>
          <w:sz w:val="24"/>
          <w:szCs w:val="24"/>
        </w:rPr>
        <w:t xml:space="preserve">Processo nº 0802491-32.2024.8.19.0001</w:t>
      </w:r>
    </w:p>
    <w:p>
      <w:pPr>
        <w:spacing w:after="100"/>
      </w:pPr>
    </w:p>
    <w:p>
      <w:pPr>
        <w:spacing w:after="100" w:before="80" w:line="360"/>
        <w:ind w:firstLine="720"/>
        <w:jc w:val="both"/>
      </w:pPr>
      <w:r>
        <w:rPr>
          <w:rFonts w:ascii="Arial" w:cs="Arial" w:eastAsia="Arial" w:hAnsi="Arial"/>
          <w:color w:val="0F172A"/>
          <w:sz w:val="24"/>
          <w:szCs w:val="24"/>
        </w:rPr>
        <w:t xml:space="preserve">SUL AMÉRICA COMPANHIA DE SEGURO SAÚDE (“SULAMÉRICA”), sociedade empresária anônima inscrita no Cadastro Nacional de Pessoas Jurídicas (CNPJ) sob o nº 01.685.053/0001-56, com sede na Capital do Estado do Rio de Janeiro, na Rua do Passeio, nº 42 – 6º pavimento, Centro, CEP 20021-290, por seus advogados que subscrevem a presente peça, vem à presença de Vossa Excelência apresentar sua CONTESTAÇÃO à pretensão deflagrada por MG Métodos Gráficos Ltda. e outros, pelas razões de fato e direito arguidas a seguir.</w:t>
      </w:r>
    </w:p>
    <w:p>
      <w:pPr>
        <w:spacing w:after="120" w:before="240"/>
      </w:pPr>
    </w:p>
    <w:p>
      <w:pPr>
        <w:spacing w:after="100" w:before="80" w:line="360"/>
        <w:ind w:firstLine="720"/>
        <w:jc w:val="both"/>
      </w:pPr>
      <w:r>
        <w:rPr>
          <w:rFonts w:ascii="Arial" w:cs="Arial" w:eastAsia="Arial" w:hAnsi="Arial"/>
          <w:color w:val="0F172A"/>
          <w:sz w:val="24"/>
          <w:szCs w:val="24"/>
        </w:rPr>
        <w:t xml:space="preserve">Ação ordinária questionando a legalidade dos índices de reajuste anual por VCMH e sinistralidade aplicados à apólice coletiva empresarial (PME).</w:t>
      </w:r>
    </w:p>
    <w:p>
      <w:pPr>
        <w:spacing w:after="120" w:before="240"/>
      </w:pPr>
    </w:p>
    <w:p>
      <w:pPr>
        <w:spacing w:after="180" w:before="280"/>
        <w:jc w:val="center"/>
      </w:pPr>
      <w:r>
        <w:rPr>
          <w:rFonts w:ascii="Arial" w:cs="Arial" w:eastAsia="Arial" w:hAnsi="Arial"/>
          <w:b/>
          <w:bCs/>
          <w:color w:val="0F172A"/>
          <w:sz w:val="24"/>
          <w:szCs w:val="24"/>
        </w:rPr>
        <w:t xml:space="preserve">DO RESUMO DA INICIAL</w:t>
      </w:r>
    </w:p>
    <w:p>
      <w:pPr>
        <w:spacing w:after="100"/>
      </w:pPr>
    </w:p>
    <w:p>
      <w:pPr>
        <w:spacing w:after="100" w:before="80" w:line="360"/>
        <w:ind w:firstLine="720"/>
        <w:jc w:val="both"/>
      </w:pPr>
      <w:r>
        <w:rPr>
          <w:rFonts w:ascii="Arial" w:cs="Arial" w:eastAsia="Arial" w:hAnsi="Arial"/>
          <w:color w:val="0F172A"/>
          <w:sz w:val="24"/>
          <w:szCs w:val="24"/>
        </w:rPr>
        <w:t xml:space="preserve">A parte autora pretende anular os reajustes técnicos dos últimos ciclos anuais, pleiteando equiparação aos índices individuais da ANS, repetição do indébito em dobro e indenização por danos morais.</w:t>
      </w:r>
    </w:p>
    <w:p>
      <w:pPr>
        <w:spacing w:after="120" w:before="240"/>
      </w:pPr>
    </w:p>
    <w:p>
      <w:pPr>
        <w:spacing w:after="180" w:before="280"/>
        <w:jc w:val="center"/>
      </w:pPr>
      <w:r>
        <w:rPr>
          <w:rFonts w:ascii="Arial" w:cs="Arial" w:eastAsia="Arial" w:hAnsi="Arial"/>
          <w:b/>
          <w:bCs/>
          <w:color w:val="0F172A"/>
          <w:sz w:val="24"/>
          <w:szCs w:val="24"/>
        </w:rPr>
        <w:t xml:space="preserve">DA EXATA DELIMITAÇÃO DA CONTROVÉRSIA</w:t>
      </w:r>
    </w:p>
    <w:p>
      <w:pPr>
        <w:spacing w:after="100"/>
      </w:pPr>
    </w:p>
    <w:p>
      <w:pPr>
        <w:spacing w:after="100" w:before="80" w:line="360"/>
        <w:ind w:firstLine="720"/>
        <w:jc w:val="both"/>
      </w:pPr>
      <w:r>
        <w:rPr>
          <w:rFonts w:ascii="Arial" w:cs="Arial" w:eastAsia="Arial" w:hAnsi="Arial"/>
          <w:color w:val="0F172A"/>
          <w:sz w:val="24"/>
          <w:szCs w:val="24"/>
        </w:rPr>
        <w:t xml:space="preserve">Validade material do contrato coletivo empresarial PME estipulado por pessoa jurídica operante, com aplicação legítima do agrupamento de risco e observância da tese repetitiva do Tema 610/STJ.</w:t>
      </w:r>
    </w:p>
    <w:p>
      <w:pPr>
        <w:spacing w:after="120" w:before="240"/>
      </w:pPr>
    </w:p>
    <w:p>
      <w:pPr>
        <w:spacing w:after="180" w:before="280"/>
        <w:jc w:val="center"/>
      </w:pPr>
      <w:r>
        <w:rPr>
          <w:rFonts w:ascii="Arial" w:cs="Arial" w:eastAsia="Arial" w:hAnsi="Arial"/>
          <w:b/>
          <w:bCs/>
          <w:color w:val="0F172A"/>
          <w:sz w:val="24"/>
          <w:szCs w:val="24"/>
        </w:rPr>
        <w:t xml:space="preserve">DO IRRETOCÁVEL INDEFERIMENTO DA TUTELA DE URGÊNCIA</w:t>
      </w:r>
    </w:p>
    <w:p>
      <w:pPr>
        <w:spacing w:after="100"/>
      </w:pPr>
    </w:p>
    <w:p>
      <w:pPr>
        <w:spacing w:after="100" w:before="80" w:line="360"/>
        <w:ind w:firstLine="720"/>
        <w:jc w:val="both"/>
      </w:pPr>
      <w:r>
        <w:rPr>
          <w:rFonts w:ascii="Arial" w:cs="Arial" w:eastAsia="Arial" w:hAnsi="Arial"/>
          <w:color w:val="0F172A"/>
          <w:sz w:val="24"/>
          <w:szCs w:val="24"/>
        </w:rPr>
        <w:t xml:space="preserve">Ao apreciar o pedido liminar formulado pelos autores, este respeitável juízo agiu com irretocável prudência e irrepreensível acerto técnico ao decidir pelo indeferimento da tutela de urgência.</w:t>
      </w:r>
    </w:p>
    <w:p>
      <w:pPr>
        <w:spacing w:after="100"/>
      </w:pPr>
    </w:p>
    <w:p>
      <w:pPr>
        <w:spacing w:after="100" w:before="80" w:line="360"/>
        <w:ind w:firstLine="720"/>
        <w:jc w:val="both"/>
      </w:pPr>
      <w:r>
        <w:rPr>
          <w:rFonts w:ascii="Arial" w:cs="Arial" w:eastAsia="Arial" w:hAnsi="Arial"/>
          <w:color w:val="0F172A"/>
          <w:sz w:val="24"/>
          <w:szCs w:val="24"/>
        </w:rPr>
        <w:t xml:space="preserve">A fundamentação de piso converge de forma cirúrgica para a jurisprudência das Câmaras Cíveis de Direito Privado e, de modo especial, para os enunciados da jurisprudência consolidada sobre a matéria. A concessão de tutelas provisórias de urgência em ações de natureza revisional financeira, que suspendem de forma casuística os reajustes de aniversário baseados em sinistralidade e VCMH, acarreta uma lesão irreversível à base atuarial e à liquidez de todo o fundo mútuo.</w:t>
      </w:r>
    </w:p>
    <w:p>
      <w:pPr>
        <w:spacing w:after="100"/>
      </w:pPr>
    </w:p>
    <w:p>
      <w:pPr>
        <w:spacing w:after="100" w:before="80" w:line="360"/>
        <w:ind w:firstLine="720"/>
        <w:jc w:val="both"/>
      </w:pPr>
      <w:r>
        <w:rPr>
          <w:rFonts w:ascii="Arial" w:cs="Arial" w:eastAsia="Arial" w:hAnsi="Arial"/>
          <w:color w:val="0F172A"/>
          <w:sz w:val="24"/>
          <w:szCs w:val="24"/>
        </w:rPr>
        <w:t xml:space="preserve">Com efeito, carecem os autos dos requisitos cumulativos esculpidos no art. 300 do CPC. A probabilidade do direito resta completamente esvaziada, uma vez que a agência reguladora ANS impõe regimes jurídicos e metodologias de faturamento absolutamente distintos entre planos individuais e coletivos. Permitir o recálculo provisório unilateral com base em limites de contratos individuais burlar-se-ia a regulamentação setorial, forçando um desequilíbrio financeiro severo de caráter irreversível (art. 300, § 3º, CPC).</w:t>
      </w:r>
    </w:p>
    <w:p>
      <w:pPr>
        <w:spacing w:after="100"/>
      </w:pPr>
    </w:p>
    <w:p>
      <w:pPr>
        <w:spacing w:after="100" w:before="80" w:line="360"/>
        <w:ind w:firstLine="720"/>
        <w:jc w:val="both"/>
      </w:pPr>
      <w:r>
        <w:rPr>
          <w:rFonts w:ascii="Arial" w:cs="Arial" w:eastAsia="Arial" w:hAnsi="Arial"/>
          <w:color w:val="0F172A"/>
          <w:sz w:val="24"/>
          <w:szCs w:val="24"/>
        </w:rPr>
        <w:t xml:space="preserve">Desta face, a manutenção do indeferimento da liminar é medida de justiça que resguarda a boa-fé objetiva, prestigia a intervenção mínima e impede o perigo de dano reverso, cujos custos médicos gerados pelas vidas sob lide seriam socializados entre os demais integrantes do pool de risco que cumprem diligentemente suas faturas comerciais.</w:t>
      </w:r>
    </w:p>
    <w:p>
      <w:pPr>
        <w:spacing w:after="120" w:before="240"/>
      </w:pPr>
    </w:p>
    <w:p>
      <w:pPr>
        <w:spacing w:after="180" w:before="280"/>
        <w:jc w:val="center"/>
      </w:pPr>
      <w:r>
        <w:rPr>
          <w:rFonts w:ascii="Arial" w:cs="Arial" w:eastAsia="Arial" w:hAnsi="Arial"/>
          <w:b/>
          <w:bCs/>
          <w:color w:val="0F172A"/>
          <w:sz w:val="24"/>
          <w:szCs w:val="24"/>
        </w:rPr>
        <w:t xml:space="preserve">DAS PRELIMINARES E PREJUDICIAIS DE MÉRITO</w:t>
      </w:r>
    </w:p>
    <w:p>
      <w:pPr>
        <w:spacing w:after="100"/>
      </w:pPr>
    </w:p>
    <w:p>
      <w:pPr>
        <w:spacing w:after="100" w:before="80" w:line="360"/>
        <w:ind w:firstLine="720"/>
        <w:jc w:val="both"/>
      </w:pPr>
      <w:r>
        <w:rPr>
          <w:rFonts w:ascii="Arial" w:cs="Arial" w:eastAsia="Arial" w:hAnsi="Arial"/>
          <w:color w:val="0F172A"/>
          <w:sz w:val="24"/>
          <w:szCs w:val="24"/>
        </w:rPr>
        <w:t xml:space="preserve">Antes de adentrar ao cerne do mérito da controvérsia e debater a legalidade dos reajustes previstos contratualmente, faz-se imperiosa a arguição de matérias preliminares e prejudiciais de mérito, cujo acolhimento imediato é medida de rigor técnico para o regular saneamento e estabilização da relação processual, com fulcro nos artigos 337 e 354 do Código de Processo Civil.</w:t>
      </w:r>
    </w:p>
    <w:p>
      <w:pPr>
        <w:spacing w:after="120" w:before="240"/>
      </w:pPr>
    </w:p>
    <w:p>
      <w:pPr>
        <w:spacing w:after="180" w:before="280"/>
        <w:jc w:val="center"/>
      </w:pPr>
      <w:r>
        <w:rPr>
          <w:rFonts w:ascii="Arial" w:cs="Arial" w:eastAsia="Arial" w:hAnsi="Arial"/>
          <w:b/>
          <w:bCs/>
          <w:color w:val="0F172A"/>
          <w:sz w:val="24"/>
          <w:szCs w:val="24"/>
        </w:rPr>
        <w:t xml:space="preserve">DA MANIFESTA ILEGITIMIDADE ATIVA AD CAUSAM DE BENEFICIÁRIOS INDIVIDUALMENTE CONSIDERADOS</w:t>
      </w:r>
    </w:p>
    <w:p>
      <w:pPr>
        <w:spacing w:after="100"/>
      </w:pPr>
    </w:p>
    <w:p>
      <w:pPr>
        <w:spacing w:after="100" w:before="80" w:line="360"/>
        <w:ind w:firstLine="720"/>
        <w:jc w:val="both"/>
      </w:pPr>
      <w:r>
        <w:rPr>
          <w:rFonts w:ascii="Arial" w:cs="Arial" w:eastAsia="Arial" w:hAnsi="Arial"/>
          <w:color w:val="0F172A"/>
          <w:sz w:val="24"/>
          <w:szCs w:val="24"/>
        </w:rPr>
        <w:t xml:space="preserve">De forma proemial e obstando o próprio exame de mérito da lide patrimonial instaurada, cumpre demonstrar a manifesta ilegitimidade da pessoa física demandante para figurar no polo ativo da presente demanda.</w:t>
      </w:r>
    </w:p>
    <w:p>
      <w:pPr>
        <w:spacing w:after="100"/>
      </w:pPr>
    </w:p>
    <w:p>
      <w:pPr>
        <w:spacing w:after="100" w:before="80" w:line="360"/>
        <w:ind w:firstLine="720"/>
        <w:jc w:val="both"/>
      </w:pPr>
      <w:r>
        <w:rPr>
          <w:rFonts w:ascii="Arial" w:cs="Arial" w:eastAsia="Arial" w:hAnsi="Arial"/>
          <w:color w:val="0F172A"/>
          <w:sz w:val="24"/>
          <w:szCs w:val="24"/>
        </w:rPr>
        <w:t xml:space="preserve">A legitimidade das partes consubstancia condição da ação e matéria de ordem pública, passível de reconhecimento a qualquer tempo e grau de jurisdição, exigindo a demonstração de vínculo de pertinência subjetiva inafastável entre os autores e o objeto do direito pleiteado.</w:t>
      </w:r>
    </w:p>
    <w:p>
      <w:pPr>
        <w:spacing w:after="100"/>
      </w:pPr>
    </w:p>
    <w:p>
      <w:pPr>
        <w:spacing w:after="100" w:before="80" w:line="360"/>
        <w:ind w:firstLine="720"/>
        <w:jc w:val="both"/>
      </w:pPr>
      <w:r>
        <w:rPr>
          <w:rFonts w:ascii="Arial" w:cs="Arial" w:eastAsia="Arial" w:hAnsi="Arial"/>
          <w:color w:val="0F172A"/>
          <w:sz w:val="24"/>
          <w:szCs w:val="24"/>
        </w:rPr>
        <w:t xml:space="preserve">No caso, a parte autora, na singela condição de beneficiária/segurada, ingressa em juízo para discutir estritamente as cláusulas financeiras de um contrato de assistência à saúde firmado sob a modalidade Coletiva Empresarial (PME), formulando, por conseguinte, pedido de repetição de indébito dos valores que reputa cobrados a maior.</w:t>
      </w:r>
    </w:p>
    <w:p>
      <w:pPr>
        <w:spacing w:after="100"/>
      </w:pPr>
    </w:p>
    <w:p>
      <w:pPr>
        <w:spacing w:after="100" w:before="80" w:line="360"/>
        <w:ind w:firstLine="720"/>
        <w:jc w:val="both"/>
      </w:pPr>
      <w:r>
        <w:rPr>
          <w:rFonts w:ascii="Arial" w:cs="Arial" w:eastAsia="Arial" w:hAnsi="Arial"/>
          <w:color w:val="0F172A"/>
          <w:sz w:val="24"/>
          <w:szCs w:val="24"/>
        </w:rPr>
        <w:t xml:space="preserve">Ocorre que, por expressa disposição normativa e estrutural do microssistema de saúde suplementar, a relação jurídica de direito material de natureza patrimonial e financeira no plano corporativo estabelece-se única e exclusivamente entre a operadora de saúde (demandada) e a pessoa jurídica estipulante.</w:t>
      </w:r>
    </w:p>
    <w:p>
      <w:pPr>
        <w:spacing w:after="100"/>
      </w:pPr>
    </w:p>
    <w:p>
      <w:pPr>
        <w:spacing w:after="100" w:before="80" w:line="360"/>
        <w:ind w:firstLine="720"/>
        <w:jc w:val="both"/>
      </w:pPr>
      <w:r>
        <w:rPr>
          <w:rFonts w:ascii="Arial" w:cs="Arial" w:eastAsia="Arial" w:hAnsi="Arial"/>
          <w:color w:val="0F172A"/>
          <w:sz w:val="24"/>
          <w:szCs w:val="24"/>
        </w:rPr>
        <w:t xml:space="preserve">Nesse cenário de contratação corporativa, evidencia-se a absoluta ausência de responsabilidade financeira primária direta entre esta seguradora e a pessoa física do beneficiário.</w:t>
      </w:r>
    </w:p>
    <w:p>
      <w:pPr>
        <w:spacing w:after="100"/>
      </w:pPr>
    </w:p>
    <w:p>
      <w:pPr>
        <w:spacing w:after="100" w:before="80" w:line="360"/>
        <w:ind w:firstLine="720"/>
        <w:jc w:val="both"/>
      </w:pPr>
      <w:r>
        <w:rPr>
          <w:rFonts w:ascii="Arial" w:cs="Arial" w:eastAsia="Arial" w:hAnsi="Arial"/>
          <w:color w:val="0F172A"/>
          <w:sz w:val="24"/>
          <w:szCs w:val="24"/>
        </w:rPr>
        <w:t xml:space="preserve">As faturas, a administração da apólice, o controle de custos e as cobranças dos prêmios reajustados são emitidos e exigidos direta e exclusivamente em face do Cadastro Nacional de Pessoa Jurídica (CNPJ) da estipulante, em rigorosa conformidade com o instrumento firmado e com as regras de governança instituídas pelas Resoluções Normativas nº 509/2022 e 557/2022 da ANS.</w:t>
      </w:r>
    </w:p>
    <w:p>
      <w:pPr>
        <w:spacing w:after="100"/>
      </w:pPr>
    </w:p>
    <w:p>
      <w:pPr>
        <w:spacing w:after="100" w:before="80" w:line="360"/>
        <w:ind w:firstLine="720"/>
        <w:jc w:val="both"/>
      </w:pPr>
      <w:r>
        <w:rPr>
          <w:rFonts w:ascii="Arial" w:cs="Arial" w:eastAsia="Arial" w:hAnsi="Arial"/>
          <w:color w:val="0F172A"/>
          <w:sz w:val="24"/>
          <w:szCs w:val="24"/>
        </w:rPr>
        <w:t xml:space="preserve">Dessa forma, a pretensão de revisão de índices de reajuste e de devolução pecuniária ostenta inegável natureza patrimonial e divisível, sendo a pessoa jurídica contratante a titular originária da apólice, a única responsável financeira e, por corolário lógico, a única parte que detém interesse e capacidade postulatória autônoma para pleitear a revisão da engenharia financeira do contrato em juízo.</w:t>
      </w:r>
    </w:p>
    <w:p>
      <w:pPr>
        <w:spacing w:after="100"/>
      </w:pPr>
    </w:p>
    <w:p>
      <w:pPr>
        <w:spacing w:after="100" w:before="80" w:line="360"/>
        <w:ind w:firstLine="720"/>
        <w:jc w:val="both"/>
      </w:pPr>
      <w:r>
        <w:rPr>
          <w:rFonts w:ascii="Arial" w:cs="Arial" w:eastAsia="Arial" w:hAnsi="Arial"/>
          <w:color w:val="0F172A"/>
          <w:sz w:val="24"/>
          <w:szCs w:val="24"/>
        </w:rPr>
        <w:t xml:space="preserve">Ao ingressarem com a presente lide revisional sem a presença da pessoa jurídica titular da avença, os beneficiários postulam a defesa de direito alheio em nome próprio, conduta expressamente vedada pelo artigo 18 do Código de Processo Civil.</w:t>
      </w:r>
    </w:p>
    <w:p>
      <w:pPr>
        <w:spacing w:after="100"/>
      </w:pPr>
    </w:p>
    <w:p>
      <w:pPr>
        <w:spacing w:after="100" w:before="80" w:line="360"/>
        <w:ind w:firstLine="720"/>
        <w:jc w:val="both"/>
      </w:pPr>
      <w:r>
        <w:rPr>
          <w:rFonts w:ascii="Arial" w:cs="Arial" w:eastAsia="Arial" w:hAnsi="Arial"/>
          <w:color w:val="0F172A"/>
          <w:sz w:val="24"/>
          <w:szCs w:val="24"/>
        </w:rPr>
        <w:t xml:space="preserve">Para eliminar qualquer margem de dúvida sobre a matéria, o Superior Tribunal de Justiça (STJ) traçou uma distinção cirúrgica e definitiva acerca da legitimidade ativa em contratos corporativos.</w:t>
      </w:r>
    </w:p>
    <w:p>
      <w:pPr>
        <w:spacing w:after="100"/>
      </w:pPr>
    </w:p>
    <w:p>
      <w:pPr>
        <w:spacing w:after="100" w:before="80" w:line="360"/>
        <w:ind w:firstLine="720"/>
        <w:jc w:val="both"/>
      </w:pPr>
      <w:r>
        <w:rPr>
          <w:rFonts w:ascii="Arial" w:cs="Arial" w:eastAsia="Arial" w:hAnsi="Arial"/>
          <w:color w:val="0F172A"/>
          <w:sz w:val="24"/>
          <w:szCs w:val="24"/>
        </w:rPr>
        <w:t xml:space="preserve">No paradigmático julgamento do REsp nº 2.036.758/SP, de relatoria do saudoso Ministro Paulo de Tarso Sanseverino, a Corte Cidadã cravou que, nas demandas relativas a coberturas assistenciais (negativas de tratamento), o beneficiário ostenta legitimidade; contudo, quando a pretensão versar sobre a revisão de cláusulas financeiras e repetição de indébito, a legitimidade ativa pertence de forma exclusiva à pessoa jurídica estipulante.</w:t>
      </w:r>
    </w:p>
    <w:p>
      <w:pPr>
        <w:spacing w:after="100"/>
      </w:pPr>
    </w:p>
    <w:p>
      <w:pPr>
        <w:spacing w:after="100" w:before="80" w:line="360"/>
        <w:ind w:firstLine="720"/>
        <w:jc w:val="both"/>
      </w:pPr>
      <w:r>
        <w:rPr>
          <w:rFonts w:ascii="Arial" w:cs="Arial" w:eastAsia="Arial" w:hAnsi="Arial"/>
          <w:color w:val="0F172A"/>
          <w:sz w:val="24"/>
          <w:szCs w:val="24"/>
        </w:rPr>
        <w:t xml:space="preserve">Se os prêmios são faturados contra a pessoa jurídica, que assumiu os ônus da pactuação e do pagamento, não há pertinência jurídica na pretensão de pessoas físicas isoladas postularem a devolução de verbas que institucionalmente não desembolsaram em face da operadora.</w:t>
      </w:r>
    </w:p>
    <w:p>
      <w:pPr>
        <w:spacing w:after="100"/>
      </w:pPr>
    </w:p>
    <w:p>
      <w:pPr>
        <w:spacing w:after="100" w:before="80" w:line="360"/>
        <w:ind w:firstLine="720"/>
        <w:jc w:val="both"/>
      </w:pPr>
      <w:r>
        <w:rPr>
          <w:rFonts w:ascii="Arial" w:cs="Arial" w:eastAsia="Arial" w:hAnsi="Arial"/>
          <w:color w:val="0F172A"/>
          <w:sz w:val="24"/>
          <w:szCs w:val="24"/>
        </w:rPr>
        <w:t xml:space="preserve">Sendo a estipulante a única titular do poder de representação e de gestão da apólice, cabendo-lhe auditar os custos e livremente anuir aos reajustes para a solvência do grupo, a ausência de sua integração no polo ativo fulmina a viabilidade da lide.</w:t>
      </w:r>
    </w:p>
    <w:p>
      <w:pPr>
        <w:spacing w:after="100"/>
      </w:pPr>
    </w:p>
    <w:p>
      <w:pPr>
        <w:spacing w:after="100" w:before="80" w:line="360"/>
        <w:ind w:firstLine="720"/>
        <w:jc w:val="both"/>
      </w:pPr>
      <w:r>
        <w:rPr>
          <w:rFonts w:ascii="Arial" w:cs="Arial" w:eastAsia="Arial" w:hAnsi="Arial"/>
          <w:color w:val="0F172A"/>
          <w:sz w:val="24"/>
          <w:szCs w:val="24"/>
        </w:rPr>
        <w:t xml:space="preserve">Diante do exposto, restando patenteada a ausência de pertinência subjetiva e a intransponível ilegitimidade ativa ad causam do beneficiário pessoa física para pleitear a anulação de cláusulas financeiras e a repetição de indébito de um contrato interempresarial do qual não são os signatários patrimoniais diretos, requer-se o imediato acolhimento desta preliminar, decretando-se a extinção do processo sem resolução do mérito, em obediência estrita ao que preconiza o artigo 485, inciso VI, do Código de Processo Civil.</w:t>
      </w:r>
    </w:p>
    <w:p>
      <w:pPr>
        <w:spacing w:after="120" w:before="240"/>
      </w:pPr>
    </w:p>
    <w:p>
      <w:pPr>
        <w:spacing w:after="180" w:before="280"/>
        <w:jc w:val="center"/>
      </w:pPr>
      <w:r>
        <w:rPr>
          <w:rFonts w:ascii="Arial" w:cs="Arial" w:eastAsia="Arial" w:hAnsi="Arial"/>
          <w:b/>
          <w:bCs/>
          <w:color w:val="0F172A"/>
          <w:sz w:val="24"/>
          <w:szCs w:val="24"/>
        </w:rPr>
        <w:t xml:space="preserve">DA IMPUGNAÇÃO AO BENEFÍCIO DA GRATUIDADE DE JUSTIÇA</w:t>
      </w:r>
    </w:p>
    <w:p>
      <w:pPr>
        <w:spacing w:after="100"/>
      </w:pPr>
    </w:p>
    <w:p>
      <w:pPr>
        <w:spacing w:after="100" w:before="80" w:line="360"/>
        <w:ind w:firstLine="720"/>
        <w:jc w:val="both"/>
      </w:pPr>
      <w:r>
        <w:rPr>
          <w:rFonts w:ascii="Arial" w:cs="Arial" w:eastAsia="Arial" w:hAnsi="Arial"/>
          <w:color w:val="0F172A"/>
          <w:sz w:val="24"/>
          <w:szCs w:val="24"/>
        </w:rPr>
        <w:t xml:space="preserve">Embora este respeitável juízo tenha deferido preteritamente os benefícios da assistência judiciária gratuita à parte autora, fundamentando-se na comprovação de renda e em sua condição de provedora do lar, a referida benesse comporta e exige imediata impugnação por esta operadora, impondo-se a sua revogação.</w:t>
      </w:r>
    </w:p>
    <w:p>
      <w:pPr>
        <w:spacing w:after="100"/>
      </w:pPr>
    </w:p>
    <w:p>
      <w:pPr>
        <w:spacing w:after="100" w:before="80" w:line="360"/>
        <w:ind w:firstLine="720"/>
        <w:jc w:val="both"/>
      </w:pPr>
      <w:r>
        <w:rPr>
          <w:rFonts w:ascii="Arial" w:cs="Arial" w:eastAsia="Arial" w:hAnsi="Arial"/>
          <w:color w:val="0F172A"/>
          <w:sz w:val="24"/>
          <w:szCs w:val="24"/>
        </w:rPr>
        <w:t xml:space="preserve">Inicialmente, cumpre resgatar a premissa constitucional de que o acesso gratuito à jurisdição não constitui um vetor absoluto ou despido de contrapartidas. O artigo 5º, inciso LXXIV, da Constituição Federal é categórico ao balizar que o Estado prestará assistência jurídica integral e gratuita apenas àqueles que comprovarem insuficiência de recursos. A redação do texto constitucional é cogente e restritiva: exige-se a prova material da necessidade, e não a mera alegação declaratória.</w:t>
      </w:r>
    </w:p>
    <w:p>
      <w:pPr>
        <w:spacing w:after="100"/>
      </w:pPr>
    </w:p>
    <w:p>
      <w:pPr>
        <w:spacing w:after="100" w:before="80" w:line="360"/>
        <w:ind w:firstLine="720"/>
        <w:jc w:val="both"/>
      </w:pPr>
      <w:r>
        <w:rPr>
          <w:rFonts w:ascii="Arial" w:cs="Arial" w:eastAsia="Arial" w:hAnsi="Arial"/>
          <w:color w:val="0F172A"/>
          <w:sz w:val="24"/>
          <w:szCs w:val="24"/>
        </w:rPr>
        <w:t xml:space="preserve">Diante do evidente déficit normativo do Código de Processo Civil quanto à fixação de balizas numéricas, impõe-se a integração sistemática do ordenamento por meio do diálogo das fontes. Nesse sentido, a legislação trabalhista (artigo 790, §§ 3º e 4º, da CLT) afastou a presunção absoluta de pobreza, limitando o benefício automático àqueles que percebem até 40% do limite máximo dos benefícios do RGPS.</w:t>
      </w:r>
    </w:p>
    <w:p>
      <w:pPr>
        <w:spacing w:after="100"/>
      </w:pPr>
    </w:p>
    <w:p>
      <w:pPr>
        <w:spacing w:after="100" w:before="80" w:line="360"/>
        <w:ind w:firstLine="720"/>
        <w:jc w:val="both"/>
      </w:pPr>
      <w:r>
        <w:rPr>
          <w:rFonts w:ascii="Arial" w:cs="Arial" w:eastAsia="Arial" w:hAnsi="Arial"/>
          <w:color w:val="0F172A"/>
          <w:sz w:val="24"/>
          <w:szCs w:val="24"/>
        </w:rPr>
        <w:t xml:space="preserve">Mais do que isso, essa exata linha de calibração macroeconômica foi chancelada pelo Supremo Tribunal Federal no julgamento da ADI nº 80. Na referida ação de controle de constitucionalidade, o Ministro Gilmar Mendes fixou a legitimidade da adoção de critérios objetivos para a aferição da hipossuficiência, estabelecendo que a presunção relativa de insuficiência de recursos deve se limitar ao patamar de renda mensal igual ou inferior a R$ 5.000,00 (cinco mil reais).</w:t>
      </w:r>
    </w:p>
    <w:p>
      <w:pPr>
        <w:spacing w:after="100"/>
      </w:pPr>
    </w:p>
    <w:p>
      <w:pPr>
        <w:spacing w:after="100" w:before="80" w:line="360"/>
        <w:ind w:firstLine="720"/>
        <w:jc w:val="both"/>
      </w:pPr>
      <w:r>
        <w:rPr>
          <w:rFonts w:ascii="Arial" w:cs="Arial" w:eastAsia="Arial" w:hAnsi="Arial"/>
          <w:color w:val="0F172A"/>
          <w:sz w:val="24"/>
          <w:szCs w:val="24"/>
        </w:rPr>
        <w:t xml:space="preserve">Como a própria decisão liminar reconheceu, a renda da parte demandante suplanta essa cifra de R$ 5.000,00. Portanto, em estrito diálogo com o precedente do STF na ADI 80, autores com rendimentos superiores ao teto estabelecido não gozam de presunção, incumbindo-lhes o ônus dinâmico de provar cabalmente a impossibilidade de custeio do processo, mediante apresentação de imposto de renda, faturas de cartão de crédito e extratos bancários pormenorizados.</w:t>
      </w:r>
    </w:p>
    <w:p>
      <w:pPr>
        <w:spacing w:after="100"/>
      </w:pPr>
    </w:p>
    <w:p>
      <w:pPr>
        <w:spacing w:after="100" w:before="80" w:line="360"/>
        <w:ind w:firstLine="720"/>
        <w:jc w:val="both"/>
      </w:pPr>
      <w:r>
        <w:rPr>
          <w:rFonts w:ascii="Arial" w:cs="Arial" w:eastAsia="Arial" w:hAnsi="Arial"/>
          <w:color w:val="0F172A"/>
          <w:sz w:val="24"/>
          <w:szCs w:val="24"/>
        </w:rPr>
        <w:t xml:space="preserve">É imperioso destacar que o Superior Tribunal de Justiça (STJ) recentemente afetou a matéria sob a sistemática dos recursos repetitivos (Tema 1.178), chancelando a urgência na discussão sobre a legitimidade da adoção de critérios objetivos (parâmetros numéricos) para a aferição da hipossuficiência formulada por pessoa natural.</w:t>
      </w:r>
    </w:p>
    <w:p>
      <w:pPr>
        <w:spacing w:after="100"/>
      </w:pPr>
    </w:p>
    <w:p>
      <w:pPr>
        <w:spacing w:after="100" w:before="80" w:line="360"/>
        <w:ind w:firstLine="720"/>
        <w:jc w:val="both"/>
      </w:pPr>
      <w:r>
        <w:rPr>
          <w:rFonts w:ascii="Arial" w:cs="Arial" w:eastAsia="Arial" w:hAnsi="Arial"/>
          <w:color w:val="0F172A"/>
          <w:sz w:val="24"/>
          <w:szCs w:val="24"/>
        </w:rPr>
        <w:t xml:space="preserve">Ademais, o custeio de um plano de saúde privado suplementar consubstancia despesa absolutamente incompatível com a alegada miserabilidade jurídica, elidindo a presunção de hipossuficiência financeira. Não pode ser considerada "pessoa pobre e necessitada" uma parte que possui renda que a mantém significativamente acima da linha de pobreza estipulada pelas cortes superiores.</w:t>
      </w:r>
    </w:p>
    <w:p>
      <w:pPr>
        <w:spacing w:after="100"/>
      </w:pPr>
    </w:p>
    <w:p>
      <w:pPr>
        <w:spacing w:after="100" w:before="80" w:line="360"/>
        <w:ind w:firstLine="720"/>
        <w:jc w:val="both"/>
      </w:pPr>
      <w:r>
        <w:rPr>
          <w:rFonts w:ascii="Arial" w:cs="Arial" w:eastAsia="Arial" w:hAnsi="Arial"/>
          <w:color w:val="0F172A"/>
          <w:sz w:val="24"/>
          <w:szCs w:val="24"/>
        </w:rPr>
        <w:t xml:space="preserve">Diante do exposto, requer seja acolhida a presente impugnação (artigo 337, inciso XIII, do CPC) para revogar a gratuidade de justiça preteritamente concedida à parte demandante, determinando-se o imediato recolhimento das custas iniciais no prazo de lei, sob pena de indeferimento da inicial, cancelamento da distribuição e extinção do feito sem resolução de mérito, nos termos do artigo 290 do Código de Processo Civil.</w:t>
      </w:r>
    </w:p>
    <w:p>
      <w:pPr>
        <w:spacing w:after="120" w:before="240"/>
      </w:pPr>
    </w:p>
    <w:p>
      <w:pPr>
        <w:spacing w:after="180" w:before="280"/>
        <w:jc w:val="center"/>
      </w:pPr>
      <w:r>
        <w:rPr>
          <w:rFonts w:ascii="Arial" w:cs="Arial" w:eastAsia="Arial" w:hAnsi="Arial"/>
          <w:b/>
          <w:bCs/>
          <w:color w:val="0F172A"/>
          <w:sz w:val="24"/>
          <w:szCs w:val="24"/>
        </w:rPr>
        <w:t xml:space="preserve">DA IMPUGNAÇÃO AO BENEFÍCIO DA GRATUIDADE DE JUSTIÇA POR INCOMPATIBILIDADE FINANCEIRA DA EMPRESA ESTIPULANTE E EXIGÊNCIA CONSTITUCIONAL DE COMPROVAÇÃO EFETIVA</w:t>
      </w:r>
    </w:p>
    <w:p>
      <w:pPr>
        <w:spacing w:after="100"/>
      </w:pPr>
    </w:p>
    <w:p>
      <w:pPr>
        <w:spacing w:after="100" w:before="80" w:line="360"/>
        <w:ind w:firstLine="720"/>
        <w:jc w:val="both"/>
      </w:pPr>
      <w:r>
        <w:rPr>
          <w:rFonts w:ascii="Arial" w:cs="Arial" w:eastAsia="Arial" w:hAnsi="Arial"/>
          <w:color w:val="0F172A"/>
          <w:sz w:val="24"/>
          <w:szCs w:val="24"/>
        </w:rPr>
        <w:t xml:space="preserve">A decisão proferida por este respeitável juízo deferiu os benefícios da assistência judiciária gratuita à empresa autora, com a ressalva acerca das penalidades cabíveis em caso de falsidade da declaração de hipossuficiência.</w:t>
      </w:r>
    </w:p>
    <w:p>
      <w:pPr>
        <w:spacing w:after="100"/>
      </w:pPr>
    </w:p>
    <w:p>
      <w:pPr>
        <w:spacing w:after="100" w:before="80" w:line="360"/>
        <w:ind w:firstLine="720"/>
        <w:jc w:val="both"/>
      </w:pPr>
      <w:r>
        <w:rPr>
          <w:rFonts w:ascii="Arial" w:cs="Arial" w:eastAsia="Arial" w:hAnsi="Arial"/>
          <w:color w:val="0F172A"/>
          <w:sz w:val="24"/>
          <w:szCs w:val="24"/>
        </w:rPr>
        <w:t xml:space="preserve">Contudo, tal concessão precária comporta e exige imediata revogação, visto que a benesse foi outorgada em manifesta dissonância com os rigorosos parâmetros probatórios exigidos para o deferimento a pessoas jurídicas.</w:t>
      </w:r>
    </w:p>
    <w:p>
      <w:pPr>
        <w:spacing w:after="100"/>
      </w:pPr>
    </w:p>
    <w:p>
      <w:pPr>
        <w:spacing w:after="100" w:before="80" w:line="360"/>
        <w:ind w:firstLine="720"/>
        <w:jc w:val="both"/>
      </w:pPr>
      <w:r>
        <w:rPr>
          <w:rFonts w:ascii="Arial" w:cs="Arial" w:eastAsia="Arial" w:hAnsi="Arial"/>
          <w:color w:val="0F172A"/>
          <w:sz w:val="24"/>
          <w:szCs w:val="24"/>
        </w:rPr>
        <w:t xml:space="preserve">Ao contrário do que ocorre com as pessoas naturais, cujo estado de pobreza processual goza de presunção legal relativa por força do artigo 99, § 3º, do Código de Processo Civil, a concessão da gratuidade a entes corporativos condiciona-se à efetiva e cabal comprovação de sua hipossuficiência econômica.</w:t>
      </w:r>
    </w:p>
    <w:p>
      <w:pPr>
        <w:spacing w:after="100"/>
      </w:pPr>
    </w:p>
    <w:p>
      <w:pPr>
        <w:spacing w:after="100" w:before="80" w:line="360"/>
        <w:ind w:firstLine="720"/>
        <w:jc w:val="both"/>
      </w:pPr>
      <w:r>
        <w:rPr>
          <w:rFonts w:ascii="Arial" w:cs="Arial" w:eastAsia="Arial" w:hAnsi="Arial"/>
          <w:color w:val="0F172A"/>
          <w:sz w:val="24"/>
          <w:szCs w:val="24"/>
        </w:rPr>
        <w:t xml:space="preserve">Essa exigência de prova material para as empresas é matéria superada e pacificada no âmbito do Superior Tribunal de Justiça, que assentou diretriz vinculante sobre o tema mediante a edição da Súmula nº 481, a qual dispõe:</w:t>
      </w:r>
    </w:p>
    <w:p>
      <w:pPr>
        <w:spacing w:after="100"/>
      </w:pPr>
    </w:p>
    <w:p>
      <w:pPr>
        <w:spacing w:after="140" w:before="120" w:line="240"/>
        <w:ind w:left="2268"/>
        <w:jc w:val="both"/>
      </w:pPr>
      <w:r>
        <w:rPr>
          <w:rFonts w:ascii="Arial" w:cs="Arial" w:eastAsia="Arial" w:hAnsi="Arial"/>
          <w:i/>
          <w:iCs/>
          <w:color w:val="334155"/>
          <w:sz w:val="20"/>
          <w:szCs w:val="20"/>
        </w:rPr>
        <w:t xml:space="preserve">"Faz jus ao benefício da justiça gratuita a pessoa jurídica com ou sem fins lucrativos que demonstrar sua impossibilidade de arcar com os encargos processuais."</w:t>
      </w:r>
    </w:p>
    <w:p>
      <w:pPr>
        <w:spacing w:after="100"/>
      </w:pPr>
    </w:p>
    <w:p>
      <w:pPr>
        <w:spacing w:after="100" w:before="80" w:line="360"/>
        <w:ind w:firstLine="720"/>
        <w:jc w:val="both"/>
      </w:pPr>
      <w:r>
        <w:rPr>
          <w:rFonts w:ascii="Arial" w:cs="Arial" w:eastAsia="Arial" w:hAnsi="Arial"/>
          <w:color w:val="0F172A"/>
          <w:sz w:val="24"/>
          <w:szCs w:val="24"/>
        </w:rPr>
        <w:t xml:space="preserve">No caso em tela, a empresa contratante limitou-se a deduzir pedido genérico em sua petição inicial, furtando-se ao dever incontornável de instruir a exordial com a documentação contábil ou financeira indispensável para evidenciar a miserabilidade alegada.</w:t>
      </w:r>
    </w:p>
    <w:p>
      <w:pPr>
        <w:spacing w:after="100"/>
      </w:pPr>
    </w:p>
    <w:p>
      <w:pPr>
        <w:spacing w:after="100" w:before="80" w:line="360"/>
        <w:ind w:firstLine="720"/>
        <w:jc w:val="both"/>
      </w:pPr>
      <w:r>
        <w:rPr>
          <w:rFonts w:ascii="Arial" w:cs="Arial" w:eastAsia="Arial" w:hAnsi="Arial"/>
          <w:color w:val="0F172A"/>
          <w:sz w:val="24"/>
          <w:szCs w:val="24"/>
        </w:rPr>
        <w:t xml:space="preserve">Para se desincumbir satisfatoriamente do ônus probatório que lhe cabia (artigo 99, § 2º, do CPC), incumbia à pessoa jurídica trazer aos autos balanços patrimoniais atualizados, Demonstrações de Resultado de Exercício (DRE) ou declarações de Imposto de Renda que atestassem de forma robusta e cristalina a insuficiência de liquidez e o comprometimento severo de seu capital.</w:t>
      </w:r>
    </w:p>
    <w:p>
      <w:pPr>
        <w:spacing w:after="100"/>
      </w:pPr>
    </w:p>
    <w:p>
      <w:pPr>
        <w:spacing w:after="100" w:before="80" w:line="360"/>
        <w:ind w:firstLine="720"/>
        <w:jc w:val="both"/>
      </w:pPr>
      <w:r>
        <w:rPr>
          <w:rFonts w:ascii="Arial" w:cs="Arial" w:eastAsia="Arial" w:hAnsi="Arial"/>
          <w:color w:val="0F172A"/>
          <w:sz w:val="24"/>
          <w:szCs w:val="24"/>
        </w:rPr>
        <w:t xml:space="preserve">A total orfandade probatória quanto à real saúde financeira da empresa afasta, em definitivo, qualquer possibilidade de manutenção do benefício deferido liminarmente. A simples menção à hipossuficiência em abstrato não substitui a comprovação documental do estado de penúria, especialmente quando se trata de empresa que, até data recente, suportava os prêmios mensais de um contrato de saúde suplementar na modalidade coletiva empresarial.</w:t>
      </w:r>
    </w:p>
    <w:p>
      <w:pPr>
        <w:spacing w:after="100"/>
      </w:pPr>
    </w:p>
    <w:p>
      <w:pPr>
        <w:spacing w:after="100" w:before="80" w:line="360"/>
        <w:ind w:firstLine="720"/>
        <w:jc w:val="both"/>
      </w:pPr>
      <w:r>
        <w:rPr>
          <w:rFonts w:ascii="Arial" w:cs="Arial" w:eastAsia="Arial" w:hAnsi="Arial"/>
          <w:color w:val="0F172A"/>
          <w:sz w:val="24"/>
          <w:szCs w:val="24"/>
        </w:rPr>
        <w:t xml:space="preserve">Inexistindo provas contundentes de vulnerabilidade econômica, a isenção de custas processuais torna-se indevida, deturpando a finalidade do instituto e onerando indevidamente a máquina judiciária.</w:t>
      </w:r>
    </w:p>
    <w:p>
      <w:pPr>
        <w:spacing w:after="100"/>
      </w:pPr>
    </w:p>
    <w:p>
      <w:pPr>
        <w:spacing w:after="100" w:before="80" w:line="360"/>
        <w:ind w:firstLine="720"/>
        <w:jc w:val="both"/>
      </w:pPr>
      <w:r>
        <w:rPr>
          <w:rFonts w:ascii="Arial" w:cs="Arial" w:eastAsia="Arial" w:hAnsi="Arial"/>
          <w:color w:val="0F172A"/>
          <w:sz w:val="24"/>
          <w:szCs w:val="24"/>
        </w:rPr>
        <w:t xml:space="preserve">Diante de todo o exposto, impugna-se formalmente a concessão da gratuidade de justiça à pessoa jurídica demandante, com fulcro no artigo 337, inciso XIII, do Código de Processo Civil. Requer-se, então, o acolhimento da presente impugnação para revogar a benesse outrora deferida, com a imediata intimação da parte autora para que promova o recolhimento integral das custas iniciais e da taxa judiciária no prazo legal, sob pena de cancelamento da distribuição (artigo 290 do CPC) e consequente extinção do feito sem resolução de mérito.</w:t>
      </w:r>
    </w:p>
    <w:p>
      <w:pPr>
        <w:spacing w:after="120" w:before="240"/>
      </w:pPr>
    </w:p>
    <w:p>
      <w:pPr>
        <w:spacing w:after="180" w:before="280"/>
        <w:jc w:val="center"/>
      </w:pPr>
      <w:r>
        <w:rPr>
          <w:rFonts w:ascii="Arial" w:cs="Arial" w:eastAsia="Arial" w:hAnsi="Arial"/>
          <w:b/>
          <w:bCs/>
          <w:color w:val="0F172A"/>
          <w:sz w:val="24"/>
          <w:szCs w:val="24"/>
        </w:rPr>
        <w:t xml:space="preserve">DA IMPUGNAÇÃO AO VALOR DA CAUSA EM OBRIGAÇÕES DE TRATO SUCESSIVO</w:t>
      </w:r>
    </w:p>
    <w:p>
      <w:pPr>
        <w:spacing w:after="100"/>
      </w:pPr>
    </w:p>
    <w:p>
      <w:pPr>
        <w:spacing w:after="100" w:before="80" w:line="360"/>
        <w:ind w:firstLine="720"/>
        <w:jc w:val="both"/>
      </w:pPr>
      <w:r>
        <w:rPr>
          <w:rFonts w:ascii="Arial" w:cs="Arial" w:eastAsia="Arial" w:hAnsi="Arial"/>
          <w:color w:val="0F172A"/>
          <w:sz w:val="24"/>
          <w:szCs w:val="24"/>
        </w:rPr>
        <w:t xml:space="preserve">A parte autora atribuiu à presente demanda valor inadequado ao proveito econômico pleiteado, divorciando-se por completo da realidade e da complexidade econômica da lide.</w:t>
      </w:r>
    </w:p>
    <w:p>
      <w:pPr>
        <w:spacing w:after="100"/>
      </w:pPr>
    </w:p>
    <w:p>
      <w:pPr>
        <w:spacing w:after="100" w:before="80" w:line="360"/>
        <w:ind w:firstLine="720"/>
        <w:jc w:val="both"/>
      </w:pPr>
      <w:r>
        <w:rPr>
          <w:rFonts w:ascii="Arial" w:cs="Arial" w:eastAsia="Arial" w:hAnsi="Arial"/>
          <w:color w:val="0F172A"/>
          <w:sz w:val="24"/>
          <w:szCs w:val="24"/>
        </w:rPr>
        <w:t xml:space="preserve">É imperioso destacar que a fixação do valor da causa não constitui mera formalidade fiscal ou burocrática, mas sim vetor essencial que estabiliza o rito processual, define os parâmetros de eventual sucumbência e baliza o correto recolhimento das taxas judiciárias.</w:t>
      </w:r>
    </w:p>
    <w:p>
      <w:pPr>
        <w:spacing w:after="100"/>
      </w:pPr>
    </w:p>
    <w:p>
      <w:pPr>
        <w:spacing w:after="100" w:before="80" w:line="360"/>
        <w:ind w:firstLine="720"/>
        <w:jc w:val="both"/>
      </w:pPr>
      <w:r>
        <w:rPr>
          <w:rFonts w:ascii="Arial" w:cs="Arial" w:eastAsia="Arial" w:hAnsi="Arial"/>
          <w:color w:val="0F172A"/>
          <w:sz w:val="24"/>
          <w:szCs w:val="24"/>
        </w:rPr>
        <w:t xml:space="preserve">A lide instaurada versa precipuamente sobre a pretensão de declaração de nulidade de cláusulas financeiras e o recálculo de reajustes aplicados a uma relação jurídica de trato sucessivo, cujas prestações renovam-se e protraem-se continuadamente no tempo.</w:t>
      </w:r>
    </w:p>
    <w:p>
      <w:pPr>
        <w:spacing w:after="100"/>
      </w:pPr>
    </w:p>
    <w:p>
      <w:pPr>
        <w:spacing w:after="100" w:before="80" w:line="360"/>
        <w:ind w:firstLine="720"/>
        <w:jc w:val="both"/>
      </w:pPr>
      <w:r>
        <w:rPr>
          <w:rFonts w:ascii="Arial" w:cs="Arial" w:eastAsia="Arial" w:hAnsi="Arial"/>
          <w:color w:val="0F172A"/>
          <w:sz w:val="24"/>
          <w:szCs w:val="24"/>
        </w:rPr>
        <w:t xml:space="preserve">Tratando-se de pretensão revisional cumulada com repetição de indébito na forma simples ou em dobro em contratos de longa duração, o diploma processual civil impõe uma métrica matemática cogente e inflexível para a quantificação da lide.</w:t>
      </w:r>
    </w:p>
    <w:p>
      <w:pPr>
        <w:spacing w:after="100"/>
      </w:pPr>
    </w:p>
    <w:p>
      <w:pPr>
        <w:spacing w:after="100" w:before="80" w:line="360"/>
        <w:ind w:firstLine="720"/>
        <w:jc w:val="both"/>
      </w:pPr>
      <w:r>
        <w:rPr>
          <w:rFonts w:ascii="Arial" w:cs="Arial" w:eastAsia="Arial" w:hAnsi="Arial"/>
          <w:color w:val="0F172A"/>
          <w:sz w:val="24"/>
          <w:szCs w:val="24"/>
        </w:rPr>
        <w:t xml:space="preserve">Por força normativa, o valor da causa deve corresponder rigorosamente à soma da diferença das parcelas vencidas (isto é, o indébito retroativo efetivamente pleiteado, já considerada a prescrição) acrescida de 12 (doze) parcelas vincendas, calculadas exclusivamente sobre a exata diferença mensal entre o prêmio contratual cobrado pela operadora e o valor decorrente do índice pretendido pela parte autora, em irrestrita observância ao que preceitua o artigo 292, §§ 1º e 2º, do Código de Processo Civil.</w:t>
      </w:r>
    </w:p>
    <w:p>
      <w:pPr>
        <w:spacing w:after="100"/>
      </w:pPr>
    </w:p>
    <w:p>
      <w:pPr>
        <w:spacing w:after="100" w:before="80" w:line="360"/>
        <w:ind w:firstLine="720"/>
        <w:jc w:val="both"/>
      </w:pPr>
      <w:r>
        <w:rPr>
          <w:rFonts w:ascii="Arial" w:cs="Arial" w:eastAsia="Arial" w:hAnsi="Arial"/>
          <w:color w:val="0F172A"/>
          <w:sz w:val="24"/>
          <w:szCs w:val="24"/>
        </w:rPr>
        <w:t xml:space="preserve">A estipulação de um valor artificialmente subestimado consubstancia expediente abusivo e anômalo, desenhado deliberadamente para burlar o recolhimento regular da taxa judiciária inicial e para esvaziar o princípio da responsabilidade patrimonial atrelado aos riscos da sucumbência.</w:t>
      </w:r>
    </w:p>
    <w:p>
      <w:pPr>
        <w:spacing w:after="100"/>
      </w:pPr>
    </w:p>
    <w:p>
      <w:pPr>
        <w:spacing w:after="100" w:before="80" w:line="360"/>
        <w:ind w:firstLine="720"/>
        <w:jc w:val="both"/>
      </w:pPr>
      <w:r>
        <w:rPr>
          <w:rFonts w:ascii="Arial" w:cs="Arial" w:eastAsia="Arial" w:hAnsi="Arial"/>
          <w:color w:val="0F172A"/>
          <w:sz w:val="24"/>
          <w:szCs w:val="24"/>
        </w:rPr>
        <w:t xml:space="preserve">Cumpre ressaltar que a exatidão do valor da causa traduz autêntica matéria de ordem pública, devendo o magistrado corrigi-lo de ofício sempre que verificar a sua absoluta desconexão com o proveito econômico perseguido pela parte demandante, nos termos do artigo 292, § 3º, do Código de Processo Civil.</w:t>
      </w:r>
    </w:p>
    <w:p>
      <w:pPr>
        <w:spacing w:after="100"/>
      </w:pPr>
    </w:p>
    <w:p>
      <w:pPr>
        <w:spacing w:after="100" w:before="80" w:line="360"/>
        <w:ind w:firstLine="720"/>
        <w:jc w:val="both"/>
      </w:pPr>
      <w:r>
        <w:rPr>
          <w:rFonts w:ascii="Arial" w:cs="Arial" w:eastAsia="Arial" w:hAnsi="Arial"/>
          <w:color w:val="0F172A"/>
          <w:sz w:val="24"/>
          <w:szCs w:val="24"/>
        </w:rPr>
        <w:t xml:space="preserve">Diante do exposto e da manifesta inobservância do regramento processual aplicável às obrigações de trato sucessivo, requer o acolhimento da presente impugnação para que este respeitável juízo determine a imediata retificação de ofício do valor atribuído à causa, recalculando-o sobre o somatório real do histórico de repetição de indébito e das doze diferenças vincendas correspondentes aos reajustes impugnados, procedendo-se à consequente intimação da parte autora para complementar integralmente as custas processuais iniciais, sob pena de indeferimento da exordial, cancelamento da distribuição e extinção do feito sem resolução de mérito, ex vi do artigo 290 do Código de Processo Civil.</w:t>
      </w:r>
    </w:p>
    <w:p>
      <w:pPr>
        <w:spacing w:after="120" w:before="240"/>
      </w:pPr>
    </w:p>
    <w:p>
      <w:pPr>
        <w:spacing w:after="180" w:before="280"/>
        <w:jc w:val="center"/>
      </w:pPr>
      <w:r>
        <w:rPr>
          <w:rFonts w:ascii="Arial" w:cs="Arial" w:eastAsia="Arial" w:hAnsi="Arial"/>
          <w:b/>
          <w:bCs/>
          <w:color w:val="0F172A"/>
          <w:sz w:val="24"/>
          <w:szCs w:val="24"/>
        </w:rPr>
        <w:t xml:space="preserve">DA PRESCRIÇÃO TRIENAL DA PRETENSÃO DE RESTITUIÇÃO DE VALORES (TEMA 610 DO STJ)</w:t>
      </w:r>
    </w:p>
    <w:p>
      <w:pPr>
        <w:spacing w:after="100"/>
      </w:pPr>
    </w:p>
    <w:p>
      <w:pPr>
        <w:spacing w:after="100" w:before="80" w:line="360"/>
        <w:ind w:firstLine="720"/>
        <w:jc w:val="both"/>
      </w:pPr>
      <w:r>
        <w:rPr>
          <w:rFonts w:ascii="Arial" w:cs="Arial" w:eastAsia="Arial" w:hAnsi="Arial"/>
          <w:color w:val="0F172A"/>
          <w:sz w:val="24"/>
          <w:szCs w:val="24"/>
        </w:rPr>
        <w:t xml:space="preserve">Ainda em sede preliminar e prejudicial de mérito, na remota hipótese de superação das teses estruturais e processuais outrora delineadas — o que se admite apenas em homenagem ao princípio da eventualidade e ao irrenunciável dever de cautela defensiva —, cumpre invocar e consolidar a incontornável barreira da prescrição trienal incidente sobre o pleito de repetição de indébito formulado pela parte autora.</w:t>
      </w:r>
    </w:p>
    <w:p>
      <w:pPr>
        <w:spacing w:after="100"/>
      </w:pPr>
    </w:p>
    <w:p>
      <w:pPr>
        <w:spacing w:after="100" w:before="80" w:line="360"/>
        <w:ind w:firstLine="720"/>
        <w:jc w:val="both"/>
      </w:pPr>
      <w:r>
        <w:rPr>
          <w:rFonts w:ascii="Arial" w:cs="Arial" w:eastAsia="Arial" w:hAnsi="Arial"/>
          <w:color w:val="0F172A"/>
          <w:sz w:val="24"/>
          <w:szCs w:val="24"/>
        </w:rPr>
        <w:t xml:space="preserve">Consoante se extrai da petição inicial, a parte autora busca a revisão dos índices de reajuste aplicados à apólice coletiva empresarial e a consequente repetição das diferenças dos valores pagos a maior ao longo dos últimos ciclos de faturamento.</w:t>
      </w:r>
    </w:p>
    <w:p>
      <w:pPr>
        <w:spacing w:after="100"/>
      </w:pPr>
    </w:p>
    <w:p>
      <w:pPr>
        <w:spacing w:after="100" w:before="80" w:line="360"/>
        <w:ind w:firstLine="720"/>
        <w:jc w:val="both"/>
      </w:pPr>
      <w:r>
        <w:rPr>
          <w:rFonts w:ascii="Arial" w:cs="Arial" w:eastAsia="Arial" w:hAnsi="Arial"/>
          <w:color w:val="0F172A"/>
          <w:sz w:val="24"/>
          <w:szCs w:val="24"/>
        </w:rPr>
        <w:t xml:space="preserve">Ocorre que a pretensão condenatória de restituição se encontra, em parte, inapelavelmente fulminada pela prescrição trienal no que tange aos pagamentos efetuados antes do triênio legal que antecedeu a propositura da demanda.</w:t>
      </w:r>
    </w:p>
    <w:p>
      <w:pPr>
        <w:spacing w:after="100"/>
      </w:pPr>
    </w:p>
    <w:p>
      <w:pPr>
        <w:spacing w:after="100" w:before="80" w:line="360"/>
        <w:ind w:firstLine="720"/>
        <w:jc w:val="both"/>
      </w:pPr>
      <w:r>
        <w:rPr>
          <w:rFonts w:ascii="Arial" w:cs="Arial" w:eastAsia="Arial" w:hAnsi="Arial"/>
          <w:color w:val="0F172A"/>
          <w:sz w:val="24"/>
          <w:szCs w:val="24"/>
        </w:rPr>
        <w:t xml:space="preserve">O ordenamento jurídico pátrio, por intermédio da regra específica estatuída no artigo 206, § 3º, inciso IV, do Código Civil, estabelece de forma impositiva que prescreve em 3 (três) anos a pretensão de ressarcimento por suposto enriquecimento sem causa.</w:t>
      </w:r>
    </w:p>
    <w:p>
      <w:pPr>
        <w:spacing w:after="100"/>
      </w:pPr>
    </w:p>
    <w:p>
      <w:pPr>
        <w:spacing w:after="100" w:before="80" w:line="360"/>
        <w:ind w:firstLine="720"/>
        <w:jc w:val="both"/>
      </w:pPr>
      <w:r>
        <w:rPr>
          <w:rFonts w:ascii="Arial" w:cs="Arial" w:eastAsia="Arial" w:hAnsi="Arial"/>
          <w:color w:val="0F172A"/>
          <w:sz w:val="24"/>
          <w:szCs w:val="24"/>
        </w:rPr>
        <w:t xml:space="preserve">A matéria, inclusive, encontra-se exaustivamente pacificada sob a sistemática dos precedentes obrigatórios pelo Egrégio Superior Tribunal de Justiça.</w:t>
      </w:r>
    </w:p>
    <w:p>
      <w:pPr>
        <w:spacing w:after="100"/>
      </w:pPr>
    </w:p>
    <w:p>
      <w:pPr>
        <w:spacing w:after="100" w:before="80" w:line="360"/>
        <w:ind w:firstLine="720"/>
        <w:jc w:val="both"/>
      </w:pPr>
      <w:r>
        <w:rPr>
          <w:rFonts w:ascii="Arial" w:cs="Arial" w:eastAsia="Arial" w:hAnsi="Arial"/>
          <w:color w:val="0F172A"/>
          <w:sz w:val="24"/>
          <w:szCs w:val="24"/>
        </w:rPr>
        <w:t xml:space="preserve">Ao apreciar a questão no julgamento do Tema Repetitivo 610 (REsp nº 1.360.969/RS), a Corte Cidadã cravou a diretriz vinculante de que o prazo prescricional aplicável à pretensão de restituição de valores em demandas revisionais de contratos de assistência à saúde restringe-se, invariavelmente, ao triênio legal.</w:t>
      </w:r>
    </w:p>
    <w:p>
      <w:pPr>
        <w:spacing w:after="100"/>
      </w:pPr>
    </w:p>
    <w:p>
      <w:pPr>
        <w:spacing w:after="100" w:before="80" w:line="360"/>
        <w:ind w:firstLine="720"/>
        <w:jc w:val="both"/>
      </w:pPr>
      <w:r>
        <w:rPr>
          <w:rFonts w:ascii="Arial" w:cs="Arial" w:eastAsia="Arial" w:hAnsi="Arial"/>
          <w:color w:val="0F172A"/>
          <w:sz w:val="24"/>
          <w:szCs w:val="24"/>
        </w:rPr>
        <w:t xml:space="preserve">A tese fixada pela Corte Superior tem eficácia erga omnes e efeito vinculante (art. 927, III, do CPC):</w:t>
      </w:r>
    </w:p>
    <w:p>
      <w:pPr>
        <w:spacing w:after="100"/>
      </w:pPr>
    </w:p>
    <w:p>
      <w:pPr>
        <w:spacing w:after="140" w:before="120" w:line="240"/>
        <w:ind w:left="2268"/>
        <w:jc w:val="both"/>
      </w:pPr>
      <w:r>
        <w:rPr>
          <w:rFonts w:ascii="Arial" w:cs="Arial" w:eastAsia="Arial" w:hAnsi="Arial"/>
          <w:i/>
          <w:iCs/>
          <w:color w:val="334155"/>
          <w:sz w:val="20"/>
          <w:szCs w:val="20"/>
        </w:rPr>
        <w:t xml:space="preserve">"Na vigência dos contratos de plano ou de seguro de assistência à saúde, a pretensão condenatória decorrente da declaração de nulidade de cláusula de reajuste nele prevista prescreve em 20 anos (art. 177 do CC/1916) ou em 3 anos (art. 206, § 3º, IV, do CC/2002), observada a regra de transição do art. 2.028 do CC/2002."</w:t>
      </w:r>
    </w:p>
    <w:p>
      <w:pPr>
        <w:spacing w:after="100"/>
      </w:pPr>
    </w:p>
    <w:p>
      <w:pPr>
        <w:spacing w:after="100" w:before="80" w:line="360"/>
        <w:ind w:firstLine="720"/>
        <w:jc w:val="both"/>
      </w:pPr>
      <w:r>
        <w:rPr>
          <w:rFonts w:ascii="Arial" w:cs="Arial" w:eastAsia="Arial" w:hAnsi="Arial"/>
          <w:color w:val="0F172A"/>
          <w:sz w:val="24"/>
          <w:szCs w:val="24"/>
        </w:rPr>
        <w:t xml:space="preserve">O exame dos registros eletrônicos oficiais de autuação deste feito atesta, de forma indene de dúvidas, a data em que a presente petição inicial foi distribuída ao Poder Judiciário.</w:t>
      </w:r>
    </w:p>
    <w:p>
      <w:pPr>
        <w:spacing w:after="100"/>
      </w:pPr>
    </w:p>
    <w:p>
      <w:pPr>
        <w:spacing w:after="100" w:before="80" w:line="360"/>
        <w:ind w:firstLine="720"/>
        <w:jc w:val="both"/>
      </w:pPr>
      <w:r>
        <w:rPr>
          <w:rFonts w:ascii="Arial" w:cs="Arial" w:eastAsia="Arial" w:hAnsi="Arial"/>
          <w:color w:val="0F172A"/>
          <w:sz w:val="24"/>
          <w:szCs w:val="24"/>
        </w:rPr>
        <w:t xml:space="preserve">Mediante simples operação cronológica retroativa a partir deste marco temporal imutável, constata-se matematicamente que toda e qualquer mensalidade, fatura ou diferença de prêmio vencida e adimplida em momento anterior aos três anos que precedem a data de distribuição da ação encontra-se prescrita.</w:t>
      </w:r>
    </w:p>
    <w:p>
      <w:pPr>
        <w:spacing w:after="100"/>
      </w:pPr>
    </w:p>
    <w:p>
      <w:pPr>
        <w:spacing w:after="100" w:before="80" w:line="360"/>
        <w:ind w:firstLine="720"/>
        <w:jc w:val="both"/>
      </w:pPr>
      <w:r>
        <w:rPr>
          <w:rFonts w:ascii="Arial" w:cs="Arial" w:eastAsia="Arial" w:hAnsi="Arial"/>
          <w:color w:val="0F172A"/>
          <w:sz w:val="24"/>
          <w:szCs w:val="24"/>
        </w:rPr>
        <w:t xml:space="preserve">É juridicamente inviável reavivar a discussão financeira de prêmios já consumidos e integralmente liquidados para o custeio da assistência médica em ciclos passados e acobertados pela estabilidade do decurso do tempo.</w:t>
      </w:r>
    </w:p>
    <w:p>
      <w:pPr>
        <w:spacing w:after="100"/>
      </w:pPr>
    </w:p>
    <w:p>
      <w:pPr>
        <w:spacing w:after="100" w:before="80" w:line="360"/>
        <w:ind w:firstLine="720"/>
        <w:jc w:val="both"/>
      </w:pPr>
      <w:r>
        <w:rPr>
          <w:rFonts w:ascii="Arial" w:cs="Arial" w:eastAsia="Arial" w:hAnsi="Arial"/>
          <w:color w:val="0F172A"/>
          <w:sz w:val="24"/>
          <w:szCs w:val="24"/>
        </w:rPr>
        <w:t xml:space="preserve">Diante de todo o exposto, restando cristalina e incontroversa a delimitação cronológica da pretensão ressarcitória, postula a SulAmérica o imediato reconhecimento da incidência da prescrição trienal, requerendo a extinção do feito com resolução do mérito em relação a todos os valores e parcelas retroativas pleiteadas que sejam anteriores ao triênio que antecedeu a distribuição da demanda, com supedâneo direto no artigo 487, inciso II, do Código de Processo Civil, combinado com o artigo 206, § 3º, inciso IV, do Código Civil, e em estrita subordinação ao comando normativo e vinculante exarado no Tema Repetitivo 610 do Egrégio Superior Tribunal de Justiça.</w:t>
      </w:r>
    </w:p>
    <w:p>
      <w:pPr>
        <w:spacing w:after="120" w:before="240"/>
      </w:pPr>
    </w:p>
    <w:p>
      <w:pPr>
        <w:spacing w:after="180" w:before="280"/>
        <w:jc w:val="center"/>
      </w:pPr>
      <w:r>
        <w:rPr>
          <w:rFonts w:ascii="Arial" w:cs="Arial" w:eastAsia="Arial" w:hAnsi="Arial"/>
          <w:b/>
          <w:bCs/>
          <w:color w:val="0F172A"/>
          <w:sz w:val="24"/>
          <w:szCs w:val="24"/>
        </w:rPr>
        <w:t xml:space="preserve">DA APLICAÇÃO COORDENADA DO CDC EM MATÉRIA REGULADA: DO DIÁLOGO DAS FONTES</w:t>
      </w:r>
    </w:p>
    <w:p>
      <w:pPr>
        <w:spacing w:after="100"/>
      </w:pPr>
    </w:p>
    <w:p>
      <w:pPr>
        <w:spacing w:after="100" w:before="80" w:line="360"/>
        <w:ind w:firstLine="720"/>
        <w:jc w:val="both"/>
      </w:pPr>
      <w:r>
        <w:rPr>
          <w:rFonts w:ascii="Arial" w:cs="Arial" w:eastAsia="Arial" w:hAnsi="Arial"/>
          <w:color w:val="0F172A"/>
          <w:sz w:val="24"/>
          <w:szCs w:val="24"/>
        </w:rPr>
        <w:t xml:space="preserve">Embora o Código de Defesa do Consumidor (CDC) seja aplicável aos contratos de planos de saúde, conforme a inteligência da Súmula nº 608 do Superior Tribunal de Justiça, a sua incidência não pode ocorrer de forma isolada, desordenada ou com o escopo de destruir o arcabouço normativo setorial.</w:t>
      </w:r>
    </w:p>
    <w:p>
      <w:pPr>
        <w:spacing w:after="100"/>
      </w:pPr>
    </w:p>
    <w:p>
      <w:pPr>
        <w:spacing w:after="100" w:before="80" w:line="360"/>
        <w:ind w:firstLine="720"/>
        <w:jc w:val="both"/>
      </w:pPr>
      <w:r>
        <w:rPr>
          <w:rFonts w:ascii="Arial" w:cs="Arial" w:eastAsia="Arial" w:hAnsi="Arial"/>
          <w:color w:val="0F172A"/>
          <w:sz w:val="24"/>
          <w:szCs w:val="24"/>
        </w:rPr>
        <w:t xml:space="preserve">A pretensão da exordial de invocar as regras gerais consumeristas de forma cega, pretendendo desfigurar retroativamente o equilíbrio econômico do reajuste atuarialmente pactuado, carece de amparo dogmático e sistêmico.</w:t>
      </w:r>
    </w:p>
    <w:p>
      <w:pPr>
        <w:spacing w:after="100"/>
      </w:pPr>
    </w:p>
    <w:p>
      <w:pPr>
        <w:spacing w:after="100" w:before="80" w:line="360"/>
        <w:ind w:firstLine="720"/>
        <w:jc w:val="both"/>
      </w:pPr>
      <w:r>
        <w:rPr>
          <w:rFonts w:ascii="Arial" w:cs="Arial" w:eastAsia="Arial" w:hAnsi="Arial"/>
          <w:color w:val="0F172A"/>
          <w:sz w:val="24"/>
          <w:szCs w:val="24"/>
        </w:rPr>
        <w:t xml:space="preserve">Conforme pacificado pelo Supremo Tribunal Federal (STF), a relação entre o ordenamento consumerista e as regras técnicas editadas pelas agências reguladoras deve ser obrigatoriamente regida pela teoria do Diálogo das Fontes.</w:t>
      </w:r>
    </w:p>
    <w:p>
      <w:pPr>
        <w:spacing w:after="100"/>
      </w:pPr>
    </w:p>
    <w:p>
      <w:pPr>
        <w:spacing w:after="100" w:before="80" w:line="360"/>
        <w:ind w:firstLine="720"/>
        <w:jc w:val="both"/>
      </w:pPr>
      <w:r>
        <w:rPr>
          <w:rFonts w:ascii="Arial" w:cs="Arial" w:eastAsia="Arial" w:hAnsi="Arial"/>
          <w:color w:val="0F172A"/>
          <w:sz w:val="24"/>
          <w:szCs w:val="24"/>
        </w:rPr>
        <w:t xml:space="preserve">Esta teoria impõe uma aplicação simultânea, coordenada e sistemática das normas, de modo a preservar a coerência do ordenamento jurídico e assegurar a proteção da arquitetura e da comutatividade do agrupamento compulsório de contratos (pool de risco), o qual é determinado de forma cogente pela RN nº 565/2022 da Agência Nacional de Saúde Suplementar (ANS).</w:t>
      </w:r>
    </w:p>
    <w:p>
      <w:pPr>
        <w:spacing w:after="100"/>
      </w:pPr>
    </w:p>
    <w:p>
      <w:pPr>
        <w:spacing w:after="100" w:before="80" w:line="360"/>
        <w:ind w:firstLine="720"/>
        <w:jc w:val="both"/>
      </w:pPr>
      <w:r>
        <w:rPr>
          <w:rFonts w:ascii="Arial" w:cs="Arial" w:eastAsia="Arial" w:hAnsi="Arial"/>
          <w:color w:val="0F172A"/>
          <w:sz w:val="24"/>
          <w:szCs w:val="24"/>
        </w:rPr>
        <w:t xml:space="preserve">A desconsideração de regras contratuais e cálculos técnicos, motivada pela aplicação genérica do conceito de vulnerabilidade na comparação de índices, gera a "proteção que desprotege". Esse efeito adverso e prejudicial ao próprio consumidor é detalhado no parecer do Ministro Luís Roberto Barroso:</w:t>
      </w:r>
    </w:p>
    <w:p>
      <w:pPr>
        <w:spacing w:after="100"/>
      </w:pPr>
    </w:p>
    <w:p>
      <w:pPr>
        <w:spacing w:after="140" w:before="120" w:line="240"/>
        <w:ind w:left="2268"/>
        <w:jc w:val="both"/>
      </w:pPr>
      <w:r>
        <w:rPr>
          <w:rFonts w:ascii="Arial" w:cs="Arial" w:eastAsia="Arial" w:hAnsi="Arial"/>
          <w:i/>
          <w:iCs/>
          <w:color w:val="334155"/>
          <w:sz w:val="20"/>
          <w:szCs w:val="20"/>
        </w:rPr>
        <w:t xml:space="preserve">"Veja-se, nessa linha, que os precedentes que reconhecem a equiparação de planos coletivos de poucas vidas aos planos individuais para fins de aplicação do teto de reajuste da ANS, além de juridicamente equivocados, terminam, em última análise, por desproteger os consumidores. Isso porque provocam a disrupção do mercado, a diminuição da oferta, o aumento geral nos preços e a potencial exclusão de certas categorias de usuários. (...) O Superior Tribunal de Justiça já decidiu, com acerto, pela incidência do Código de Defesa do Consumidor sobre os contratos de planos de saúde (Súmula STJ nº 608). No entanto, a aplicação do CDC não elimina, mas convive com a regulação técnica da Agência Nacional de Saúde Suplementar. Essa dupla incidência normativa é regida pela teoria do diálogo das fontes, que estrutura a aplicação simultânea, coordenada e complementar de conjuntos normativos diversos, evitando tanto a exclusão quanto a sobreposição indevida de regimes. Como já reconheceu o STF, 'há de existir, pois, uma coerência entre os ordenamentos consumerista e setorial, sob pena de cair por terra a noção de sistematicidade do direito'."</w:t>
      </w:r>
    </w:p>
    <w:p>
      <w:pPr>
        <w:spacing w:after="100"/>
      </w:pPr>
    </w:p>
    <w:p>
      <w:pPr>
        <w:spacing w:after="100" w:before="80" w:line="360"/>
        <w:ind w:firstLine="720"/>
        <w:jc w:val="both"/>
      </w:pPr>
      <w:r>
        <w:rPr>
          <w:rFonts w:ascii="Arial" w:cs="Arial" w:eastAsia="Arial" w:hAnsi="Arial"/>
          <w:color w:val="0F172A"/>
          <w:sz w:val="24"/>
          <w:szCs w:val="24"/>
        </w:rPr>
        <w:t xml:space="preserve">Invocando o entendimento da Suprema Corte, não se pode admitir que as regras de proteção ao indivíduo sejam utilizadas como subterfúgio para desfigurar retroativamente a essência de um contrato coletivo PME regularmente celebrado e gerido sob as rígidas premissas do mutualismo.</w:t>
      </w:r>
    </w:p>
    <w:p>
      <w:pPr>
        <w:spacing w:after="100"/>
      </w:pPr>
    </w:p>
    <w:p>
      <w:pPr>
        <w:spacing w:after="100" w:before="80" w:line="360"/>
        <w:ind w:firstLine="720"/>
        <w:jc w:val="both"/>
      </w:pPr>
      <w:r>
        <w:rPr>
          <w:rFonts w:ascii="Arial" w:cs="Arial" w:eastAsia="Arial" w:hAnsi="Arial"/>
          <w:color w:val="0F172A"/>
          <w:sz w:val="24"/>
          <w:szCs w:val="24"/>
        </w:rPr>
        <w:t xml:space="preserve">A parte autora utilizou a estrutura coletiva empresarial para acessar um plano de saúde substancialmente mais vantajoso em sua origem — com ampla rede assistencial e tarifas reduzidas — e, agora, busca o Poder Judiciário para impor o teto dos reajustes individuais sobre a sua apólice, violando a segurança jurídica, a boa-fé objetiva (artigos 421 e 422 do Código Civil) e a legítima confiança que orienta os negócios de longo curso.</w:t>
      </w:r>
    </w:p>
    <w:p>
      <w:pPr>
        <w:spacing w:after="100"/>
      </w:pPr>
    </w:p>
    <w:p>
      <w:pPr>
        <w:spacing w:after="100" w:before="80" w:line="360"/>
        <w:ind w:firstLine="720"/>
        <w:jc w:val="both"/>
      </w:pPr>
      <w:r>
        <w:rPr>
          <w:rFonts w:ascii="Arial" w:cs="Arial" w:eastAsia="Arial" w:hAnsi="Arial"/>
          <w:color w:val="0F172A"/>
          <w:sz w:val="24"/>
          <w:szCs w:val="24"/>
        </w:rPr>
        <w:t xml:space="preserve">O Excelso STF, no julgamento do paradigma RE nº 590.415, rechaçou de forma veemente e definitiva a postura oportunista daquele que adere a um regime jurídico, aufere todos os benefícios econômicos dele decorrentes e, posteriormente, adota conduta oposta para eximir-se de suas legítimas contrapartidas financeiras.</w:t>
      </w:r>
    </w:p>
    <w:p>
      <w:pPr>
        <w:spacing w:after="100"/>
      </w:pPr>
    </w:p>
    <w:p>
      <w:pPr>
        <w:spacing w:after="100" w:before="80" w:line="360"/>
        <w:ind w:firstLine="720"/>
        <w:jc w:val="both"/>
      </w:pPr>
      <w:r>
        <w:rPr>
          <w:rFonts w:ascii="Arial" w:cs="Arial" w:eastAsia="Arial" w:hAnsi="Arial"/>
          <w:color w:val="0F172A"/>
          <w:sz w:val="24"/>
          <w:szCs w:val="24"/>
        </w:rPr>
        <w:t xml:space="preserve">A transparência e a lisura da operadora ré encontram-se cabalmente demonstradas pelo arcabouço probatório pré-constituído encartado aos autos, materializado pelo fornecimento das Condições Gerais perfeitamente legíveis da apólice e chancelado pelos densos relatórios contábeis elaborados por firmas de auditoria independentes de prestígio global (KPMG e Deloitte), que auditam e validam anualmente a regularidade e a lisura matemática da variação de custos do pool garantidor.</w:t>
      </w:r>
    </w:p>
    <w:p>
      <w:pPr>
        <w:spacing w:after="100"/>
      </w:pPr>
    </w:p>
    <w:p>
      <w:pPr>
        <w:spacing w:after="100" w:before="80" w:line="360"/>
        <w:ind w:firstLine="720"/>
        <w:jc w:val="both"/>
      </w:pPr>
      <w:r>
        <w:rPr>
          <w:rFonts w:ascii="Arial" w:cs="Arial" w:eastAsia="Arial" w:hAnsi="Arial"/>
          <w:color w:val="0F172A"/>
          <w:sz w:val="24"/>
          <w:szCs w:val="24"/>
        </w:rPr>
        <w:t xml:space="preserve">Sendo assim, requer o acolhimento da presente preliminar para fixar o entendimento de que as normas do Código de Defesa do Consumidor não podem ser aplicadas de forma abstrata e genérica para transmudar a natureza do contrato coletivo interempresarial, devendo a análise do presente litígio restringir-se estritamente à verificação do cumprimento dos parâmetros normativos da ANS e à imprescindível produção de prova técnico-atuarial para a constatação de eventual abusividade concreta.</w:t>
      </w:r>
    </w:p>
    <w:p>
      <w:pPr>
        <w:spacing w:after="120" w:before="240"/>
      </w:pPr>
    </w:p>
    <w:p>
      <w:pPr>
        <w:spacing w:after="180" w:before="280"/>
        <w:jc w:val="center"/>
      </w:pPr>
      <w:r>
        <w:rPr>
          <w:rFonts w:ascii="Arial" w:cs="Arial" w:eastAsia="Arial" w:hAnsi="Arial"/>
          <w:b/>
          <w:bCs/>
          <w:color w:val="0F172A"/>
          <w:sz w:val="24"/>
          <w:szCs w:val="24"/>
        </w:rPr>
        <w:t xml:space="preserve">DO MÉRITO</w:t>
      </w:r>
    </w:p>
    <w:p>
      <w:pPr>
        <w:spacing w:after="100"/>
      </w:pPr>
    </w:p>
    <w:p>
      <w:pPr>
        <w:spacing w:after="100" w:before="80" w:line="360"/>
        <w:ind w:firstLine="720"/>
        <w:jc w:val="both"/>
      </w:pPr>
      <w:r>
        <w:rPr>
          <w:rFonts w:ascii="Arial" w:cs="Arial" w:eastAsia="Arial" w:hAnsi="Arial"/>
          <w:color w:val="0F172A"/>
          <w:sz w:val="24"/>
          <w:szCs w:val="24"/>
        </w:rPr>
        <w:t xml:space="preserve">No mérito, a improcedência decorre da conjugação de quatro premissas: o contrato coletivo empresarial é válido; o PRU decorre de imposição regulatória da ANS; os reajustes possuem lastro técnico e atuarial; e a revisão individualizada desestrutura o mutualismo da carteira.</w:t>
      </w:r>
    </w:p>
    <w:p>
      <w:pPr>
        <w:spacing w:after="120" w:before="240"/>
      </w:pPr>
    </w:p>
    <w:p>
      <w:pPr>
        <w:spacing w:after="180" w:before="280"/>
        <w:jc w:val="center"/>
      </w:pPr>
      <w:r>
        <w:rPr>
          <w:rFonts w:ascii="Arial" w:cs="Arial" w:eastAsia="Arial" w:hAnsi="Arial"/>
          <w:b/>
          <w:bCs/>
          <w:color w:val="0F172A"/>
          <w:sz w:val="24"/>
          <w:szCs w:val="24"/>
        </w:rPr>
        <w:t xml:space="preserve">DA HIGIDEZ TÉCNICO-REGULATÓRIA DO PLANO COLETIVO DE PEQUENO PORTE (PME): A ANTIGUIDADE DA EMPRESA ESTIPULANTE COMO PROVA DA INEXISTÊNCIA DE "VÍNCULO DE FACHADA"</w:t>
      </w:r>
    </w:p>
    <w:p>
      <w:pPr>
        <w:spacing w:after="100"/>
      </w:pPr>
    </w:p>
    <w:p>
      <w:pPr>
        <w:spacing w:after="100" w:before="80" w:line="360"/>
        <w:ind w:firstLine="720"/>
        <w:jc w:val="both"/>
      </w:pPr>
      <w:r>
        <w:rPr>
          <w:rFonts w:ascii="Arial" w:cs="Arial" w:eastAsia="Arial" w:hAnsi="Arial"/>
          <w:color w:val="0F172A"/>
          <w:sz w:val="24"/>
          <w:szCs w:val="24"/>
        </w:rPr>
        <w:t xml:space="preserve">A alegação de "falso coletivo" formulada pela parte autora carece de qualquer lastro de realidade e base jurídica.</w:t>
      </w:r>
    </w:p>
    <w:p>
      <w:pPr>
        <w:spacing w:after="100"/>
      </w:pPr>
    </w:p>
    <w:p>
      <w:pPr>
        <w:spacing w:after="100" w:before="80" w:line="360"/>
        <w:ind w:firstLine="720"/>
        <w:jc w:val="both"/>
      </w:pPr>
      <w:r>
        <w:rPr>
          <w:rFonts w:ascii="Arial" w:cs="Arial" w:eastAsia="Arial" w:hAnsi="Arial"/>
          <w:color w:val="0F172A"/>
          <w:sz w:val="24"/>
          <w:szCs w:val="24"/>
        </w:rPr>
        <w:t xml:space="preserve">O principal vetor de identificação de fraudes na contratação de planos coletivos empresariais de pequeno porte — fartamente debatido na jurisprudência — é a criação de "empresas de fachada" ou MEIs constituídas exclusivamente para a burla do regime individual, cuja existência jurídica é efêmera ou simulada.</w:t>
      </w:r>
    </w:p>
    <w:p>
      <w:pPr>
        <w:spacing w:after="100"/>
      </w:pPr>
    </w:p>
    <w:p>
      <w:pPr>
        <w:spacing w:after="100" w:before="80" w:line="360"/>
        <w:ind w:firstLine="720"/>
        <w:jc w:val="both"/>
      </w:pPr>
      <w:r>
        <w:rPr>
          <w:rFonts w:ascii="Arial" w:cs="Arial" w:eastAsia="Arial" w:hAnsi="Arial"/>
          <w:color w:val="0F172A"/>
          <w:sz w:val="24"/>
          <w:szCs w:val="24"/>
        </w:rPr>
        <w:t xml:space="preserve">No caso concreto, contudo, a pessoa jurídica estipulante opera há longos anos, com regular e ininterrupta atividade econômica. A higidez temporal e a longevidade da pessoa jurídica contratante constituem prova inequívoca e irrefutável de sua substancialidade material.</w:t>
      </w:r>
    </w:p>
    <w:p>
      <w:pPr>
        <w:spacing w:after="100"/>
      </w:pPr>
    </w:p>
    <w:p>
      <w:pPr>
        <w:spacing w:after="100" w:before="80" w:line="360"/>
        <w:ind w:firstLine="720"/>
        <w:jc w:val="both"/>
      </w:pPr>
      <w:r>
        <w:rPr>
          <w:rFonts w:ascii="Arial" w:cs="Arial" w:eastAsia="Arial" w:hAnsi="Arial"/>
          <w:color w:val="0F172A"/>
          <w:sz w:val="24"/>
          <w:szCs w:val="24"/>
        </w:rPr>
        <w:t xml:space="preserve">Não se trata de um artifício formal ou de um "vínculo de conveniência" arquitetado casuisticamente para a contratação do plano de saúde, mas sim de uma sociedade comercial consolidada no mercado, que validamente buscou o mercado de saúde suplementar para estender a proteção assistencial ao seu quadro societário e respectivos dependentes legais.</w:t>
      </w:r>
    </w:p>
    <w:p>
      <w:pPr>
        <w:spacing w:after="100"/>
      </w:pPr>
    </w:p>
    <w:p>
      <w:pPr>
        <w:spacing w:after="100" w:before="80" w:line="360"/>
        <w:ind w:firstLine="720"/>
        <w:jc w:val="both"/>
      </w:pPr>
      <w:r>
        <w:rPr>
          <w:rFonts w:ascii="Arial" w:cs="Arial" w:eastAsia="Arial" w:hAnsi="Arial"/>
          <w:color w:val="0F172A"/>
          <w:sz w:val="24"/>
          <w:szCs w:val="24"/>
        </w:rPr>
        <w:t xml:space="preserve">O decurso do tempo consolida o negócio jurídico e expurga qualquer presunção de vício de consentimento ou de simulação (arts. 167 e 178 do Código Civil).</w:t>
      </w:r>
    </w:p>
    <w:p>
      <w:pPr>
        <w:spacing w:after="100"/>
      </w:pPr>
    </w:p>
    <w:p>
      <w:pPr>
        <w:spacing w:after="100" w:before="80" w:line="360"/>
        <w:ind w:firstLine="720"/>
        <w:jc w:val="both"/>
      </w:pPr>
      <w:r>
        <w:rPr>
          <w:rFonts w:ascii="Arial" w:cs="Arial" w:eastAsia="Arial" w:hAnsi="Arial"/>
          <w:color w:val="0F172A"/>
          <w:sz w:val="24"/>
          <w:szCs w:val="24"/>
        </w:rPr>
        <w:t xml:space="preserve">Admitir a tese de "falso coletivo" em uma apólice vinculada a uma empresa real, operante e longeva equivaleria a instituir uma insegurança jurídica sistêmica, permitindo que qualquer contrato corporativo de pequeno porte fosse unilateralmente desconfigurado pelo beneficiário sempre que o reajuste atuarial não lhe fosse conveniente.</w:t>
      </w:r>
    </w:p>
    <w:p>
      <w:pPr>
        <w:spacing w:after="100"/>
      </w:pPr>
    </w:p>
    <w:p>
      <w:pPr>
        <w:spacing w:after="100" w:before="80" w:line="360"/>
        <w:ind w:firstLine="720"/>
        <w:jc w:val="both"/>
      </w:pPr>
      <w:r>
        <w:rPr>
          <w:rFonts w:ascii="Arial" w:cs="Arial" w:eastAsia="Arial" w:hAnsi="Arial"/>
          <w:color w:val="0F172A"/>
          <w:sz w:val="24"/>
          <w:szCs w:val="24"/>
        </w:rPr>
        <w:t xml:space="preserve">Resta evidente, portanto, que a pretensão da parte autora viola o princípio da boa-fé objetiva (art. 422 do CC) sob a vertente do venire contra factum proprium. A parte autora usufruiu, por anos a fio, das nítidas vantagens comerciais do regime coletivo empresarial (carências mitigadas, preços de entrada substancialmente inferiores aos planos individuais e ampla rede credenciada).</w:t>
      </w:r>
    </w:p>
    <w:p>
      <w:pPr>
        <w:spacing w:after="100"/>
      </w:pPr>
    </w:p>
    <w:p>
      <w:pPr>
        <w:spacing w:after="100" w:before="80" w:line="360"/>
        <w:ind w:firstLine="720"/>
        <w:jc w:val="both"/>
      </w:pPr>
      <w:r>
        <w:rPr>
          <w:rFonts w:ascii="Arial" w:cs="Arial" w:eastAsia="Arial" w:hAnsi="Arial"/>
          <w:color w:val="0F172A"/>
          <w:sz w:val="24"/>
          <w:szCs w:val="24"/>
        </w:rPr>
        <w:t xml:space="preserve">Pretender, agora, desqualificar a natureza de um contrato cujos bônus aproveitou por longo período constitui manifesto abuso de direito e tentativa de enriquecimento sem causa, o que é expressamente vedado pelo ordenamento jurídico pátrio.</w:t>
      </w:r>
    </w:p>
    <w:p>
      <w:pPr>
        <w:spacing w:after="120" w:before="240"/>
      </w:pPr>
    </w:p>
    <w:p>
      <w:pPr>
        <w:spacing w:after="180" w:before="280"/>
        <w:jc w:val="center"/>
      </w:pPr>
      <w:r>
        <w:rPr>
          <w:rFonts w:ascii="Arial" w:cs="Arial" w:eastAsia="Arial" w:hAnsi="Arial"/>
          <w:b/>
          <w:bCs/>
          <w:color w:val="0F172A"/>
          <w:sz w:val="24"/>
          <w:szCs w:val="24"/>
        </w:rPr>
        <w:t xml:space="preserve">DA VALIDADE DO CONTRATO COLETIVO EMPRESARIAL E DA INEXISTÊNCIA DE “FALSO COLETIVO”</w:t>
      </w:r>
    </w:p>
    <w:p>
      <w:pPr>
        <w:spacing w:after="100"/>
      </w:pPr>
    </w:p>
    <w:p>
      <w:pPr>
        <w:spacing w:after="100" w:before="80" w:line="360"/>
        <w:ind w:firstLine="720"/>
        <w:jc w:val="both"/>
      </w:pPr>
      <w:r>
        <w:rPr>
          <w:rFonts w:ascii="Arial" w:cs="Arial" w:eastAsia="Arial" w:hAnsi="Arial"/>
          <w:color w:val="0F172A"/>
          <w:sz w:val="24"/>
          <w:szCs w:val="24"/>
        </w:rPr>
        <w:t xml:space="preserve">A pretensão da parte autora de transmudar, por via judicial, as premissas do plano coletivo empresarial (PME) para que receba tratamento próprio dos planos individuais viola a força obrigatória dos contratos e a autonomia privada que regem as relações interempresariais.</w:t>
      </w:r>
    </w:p>
    <w:p>
      <w:pPr>
        <w:spacing w:after="100"/>
      </w:pPr>
    </w:p>
    <w:p>
      <w:pPr>
        <w:spacing w:after="100" w:before="80" w:line="360"/>
        <w:ind w:firstLine="720"/>
        <w:jc w:val="both"/>
      </w:pPr>
      <w:r>
        <w:rPr>
          <w:rFonts w:ascii="Arial" w:cs="Arial" w:eastAsia="Arial" w:hAnsi="Arial"/>
          <w:color w:val="0F172A"/>
          <w:sz w:val="24"/>
          <w:szCs w:val="24"/>
        </w:rPr>
        <w:t xml:space="preserve">O contrato de assistência à saúde consubstancia-se em um negócio jurídico eminentemente oneroso e sinalagmático, validamente celebrado de forma correspectiva entre a operadora ré e a pessoa jurídica estipulante.</w:t>
      </w:r>
    </w:p>
    <w:p>
      <w:pPr>
        <w:spacing w:after="100"/>
      </w:pPr>
    </w:p>
    <w:p>
      <w:pPr>
        <w:spacing w:after="100" w:before="80" w:line="360"/>
        <w:ind w:firstLine="720"/>
        <w:jc w:val="both"/>
      </w:pPr>
      <w:r>
        <w:rPr>
          <w:rFonts w:ascii="Arial" w:cs="Arial" w:eastAsia="Arial" w:hAnsi="Arial"/>
          <w:color w:val="0F172A"/>
          <w:sz w:val="24"/>
          <w:szCs w:val="24"/>
        </w:rPr>
        <w:t xml:space="preserve">Cumpre destacar, desde já, que a relação obrigacional e financeira nos planos coletivos empresariais (PME) estabelece-se precipuamente entre a seguradora e a pessoa jurídica contratante, e não diretamente e de forma autônoma com as pessoas físicas beneficiárias.</w:t>
      </w:r>
    </w:p>
    <w:p>
      <w:pPr>
        <w:spacing w:after="100"/>
      </w:pPr>
    </w:p>
    <w:p>
      <w:pPr>
        <w:spacing w:after="100" w:before="80" w:line="360"/>
        <w:ind w:firstLine="720"/>
        <w:jc w:val="both"/>
      </w:pPr>
      <w:r>
        <w:rPr>
          <w:rFonts w:ascii="Arial" w:cs="Arial" w:eastAsia="Arial" w:hAnsi="Arial"/>
          <w:color w:val="0F172A"/>
          <w:sz w:val="24"/>
          <w:szCs w:val="24"/>
        </w:rPr>
        <w:t xml:space="preserve">O Colendo Superior Tribunal de Justiça já sedimentou, de longa data, que a relação entre a empresa estipulante e a seguradora ostenta caráter eminentemente comercial, não sendo aplicável automaticamente a presunção de hipossuficiência do microssistema consumerista pelo simples fato de o objeto envolver cobertura securitária.</w:t>
      </w:r>
    </w:p>
    <w:p>
      <w:pPr>
        <w:spacing w:after="100"/>
      </w:pPr>
    </w:p>
    <w:p>
      <w:pPr>
        <w:spacing w:after="100" w:before="80" w:line="360"/>
        <w:ind w:firstLine="720"/>
        <w:jc w:val="both"/>
      </w:pPr>
      <w:r>
        <w:rPr>
          <w:rFonts w:ascii="Arial" w:cs="Arial" w:eastAsia="Arial" w:hAnsi="Arial"/>
          <w:color w:val="0F172A"/>
          <w:sz w:val="24"/>
          <w:szCs w:val="24"/>
        </w:rPr>
        <w:t xml:space="preserve">Tratando-se de relação paritária e simétrica, a intervenção judicial deve ser mínima, prevalecendo a força obrigatória dos contratos interempresariais e a autonomia da vontade delineada nos artigos 421 e 421-A do Código Civil.</w:t>
      </w:r>
    </w:p>
    <w:p>
      <w:pPr>
        <w:spacing w:after="100"/>
      </w:pPr>
    </w:p>
    <w:p>
      <w:pPr>
        <w:spacing w:after="100" w:before="80" w:line="360"/>
        <w:ind w:firstLine="720"/>
        <w:jc w:val="both"/>
      </w:pPr>
      <w:r>
        <w:rPr>
          <w:rFonts w:ascii="Arial" w:cs="Arial" w:eastAsia="Arial" w:hAnsi="Arial"/>
          <w:color w:val="0F172A"/>
          <w:sz w:val="24"/>
          <w:szCs w:val="24"/>
        </w:rPr>
        <w:t xml:space="preserve">Ao subscrever a proposta e perfectibilizar o vínculo, a empresa estipulante o fez de forma estritamente livre, consciente e autônoma, optando deliberadamente pelo modelo coletivo empresarial motivada pelas nítidas vantagens inerentes a este ecossistema: mensalidades substancialmente mais módicas e condições comerciais muito mais atrativas do que as ofertadas nos planos individuais disponíveis no mercado.</w:t>
      </w:r>
    </w:p>
    <w:p>
      <w:pPr>
        <w:spacing w:after="100"/>
      </w:pPr>
    </w:p>
    <w:p>
      <w:pPr>
        <w:spacing w:after="100" w:before="80" w:line="360"/>
        <w:ind w:firstLine="720"/>
        <w:jc w:val="both"/>
      </w:pPr>
      <w:r>
        <w:rPr>
          <w:rFonts w:ascii="Arial" w:cs="Arial" w:eastAsia="Arial" w:hAnsi="Arial"/>
          <w:color w:val="0F172A"/>
          <w:sz w:val="24"/>
          <w:szCs w:val="24"/>
        </w:rPr>
        <w:t xml:space="preserve">Diante da validade do negócio jurídico originário e da força vinculante do pacto corporativo celebrado entre agentes capazes, requer-se a preservação das disposições contratuais que regem a avença, sem prejuízo do exame específico da boa-fé objetiva e do comportamento contraditório em tópico próprio. Firmada a natureza interempresarial da avença, passa-se ao enfrentamento da tese central da inicial, consistente na tentativa de qualificar o contrato como suposto “falso coletivo”.</w:t>
      </w:r>
    </w:p>
    <w:p>
      <w:pPr>
        <w:spacing w:after="120" w:before="240"/>
      </w:pPr>
    </w:p>
    <w:p>
      <w:pPr>
        <w:spacing w:after="180" w:before="280"/>
        <w:jc w:val="center"/>
      </w:pPr>
      <w:r>
        <w:rPr>
          <w:rFonts w:ascii="Arial" w:cs="Arial" w:eastAsia="Arial" w:hAnsi="Arial"/>
          <w:b/>
          <w:bCs/>
          <w:color w:val="0F172A"/>
          <w:sz w:val="24"/>
          <w:szCs w:val="24"/>
        </w:rPr>
        <w:t xml:space="preserve">DA IMPOSSIBILIDADE DE TRANSMUTAÇÃO CONTRATUAL E DA BOA-FÉ OBJETIVA</w:t>
      </w:r>
    </w:p>
    <w:p>
      <w:pPr>
        <w:spacing w:after="100"/>
      </w:pPr>
    </w:p>
    <w:p>
      <w:pPr>
        <w:spacing w:after="100" w:before="80" w:line="360"/>
        <w:ind w:firstLine="720"/>
        <w:jc w:val="both"/>
      </w:pPr>
      <w:r>
        <w:rPr>
          <w:rFonts w:ascii="Arial" w:cs="Arial" w:eastAsia="Arial" w:hAnsi="Arial"/>
          <w:color w:val="0F172A"/>
          <w:sz w:val="24"/>
          <w:szCs w:val="24"/>
        </w:rPr>
        <w:t xml:space="preserve">A pretensão da parte autora de desqualificar a natureza jurídica do plano coletivo empresarial para impor de forma artificial o teto de reajuste dos planos individuais — sob a genérica alegação de "falso coletivo" em virtude do reduzido número de vidas ou da composição familiar do grupo — configura manifesto oportunismo e total subversão das bases contratuais, econômicas e regulatórias do setor.</w:t>
      </w:r>
    </w:p>
    <w:p>
      <w:pPr>
        <w:spacing w:after="100"/>
      </w:pPr>
    </w:p>
    <w:p>
      <w:pPr>
        <w:spacing w:after="100" w:before="80" w:line="360"/>
        <w:ind w:firstLine="720"/>
        <w:jc w:val="both"/>
      </w:pPr>
      <w:r>
        <w:rPr>
          <w:rFonts w:ascii="Arial" w:cs="Arial" w:eastAsia="Arial" w:hAnsi="Arial"/>
          <w:color w:val="0F172A"/>
          <w:sz w:val="24"/>
          <w:szCs w:val="24"/>
        </w:rPr>
        <w:t xml:space="preserve">O ordenamento setorial, por meio das resoluções da Agência Nacional de Saúde Suplementar (ANS), autoriza expressamente a contratação de planos coletivos por empresários individuais e microempresas, inclusive para a proteção de seus respectivos grupos familiares. Logo, as características fáticas de quantidade reduzida de vidas ou o vínculo consanguíneo entre os beneficiários não constituem qualquer indício de irregularidade, tratando-se de opção de consumo perfeitamente legal e chancelada pelo órgão regulador.</w:t>
      </w:r>
    </w:p>
    <w:p>
      <w:pPr>
        <w:spacing w:after="100"/>
      </w:pPr>
    </w:p>
    <w:p>
      <w:pPr>
        <w:spacing w:after="100" w:before="80" w:line="360"/>
        <w:ind w:firstLine="720"/>
        <w:jc w:val="both"/>
      </w:pPr>
      <w:r>
        <w:rPr>
          <w:rFonts w:ascii="Arial" w:cs="Arial" w:eastAsia="Arial" w:hAnsi="Arial"/>
          <w:color w:val="0F172A"/>
          <w:sz w:val="24"/>
          <w:szCs w:val="24"/>
        </w:rPr>
        <w:t xml:space="preserve">Soma-se a isso o fato de que a recusa imotivada ou a exclusão preventiva de beneficiários elegíveis configuraria flagrante ilegalidade por parte da operadora. O artigo 3º da Lei nº 9.656/98, em perfeita simetria com a Súmula Normativa nº 19 da ANS, veda de forma peremptória a prática de seleção de riscos ou qualquer conduta discriminatória na contratação e manutenção de planos de saúde suplementar.</w:t>
      </w:r>
    </w:p>
    <w:p>
      <w:pPr>
        <w:spacing w:after="100"/>
      </w:pPr>
    </w:p>
    <w:p>
      <w:pPr>
        <w:spacing w:after="100" w:before="80" w:line="360"/>
        <w:ind w:firstLine="720"/>
        <w:jc w:val="both"/>
      </w:pPr>
      <w:r>
        <w:rPr>
          <w:rFonts w:ascii="Arial" w:cs="Arial" w:eastAsia="Arial" w:hAnsi="Arial"/>
          <w:color w:val="0F172A"/>
          <w:sz w:val="24"/>
          <w:szCs w:val="24"/>
        </w:rPr>
        <w:t xml:space="preserve">Portanto, se o contrato autorizava a inclusão de dependentes diretos e o parentesco foi formalmente demonstrado, a pronta inclusão dos beneficiários era um dever jurídico intransponível da operadora. Exigir que a ré proibisse o ingresso dessas pessoas para tentar manter a apólice estritamente "empresarial" significaria impor-lhe o descumprimento deliberado do pacto e a violação de normas cogentes de direito público, o que ensejaria a aplicação de severas penalidades administrativas e multas pecuniárias pelo órgão regulador.</w:t>
      </w:r>
    </w:p>
    <w:p>
      <w:pPr>
        <w:spacing w:after="100"/>
      </w:pPr>
    </w:p>
    <w:p>
      <w:pPr>
        <w:spacing w:after="100" w:before="80" w:line="360"/>
        <w:ind w:firstLine="720"/>
        <w:jc w:val="both"/>
      </w:pPr>
      <w:r>
        <w:rPr>
          <w:rFonts w:ascii="Arial" w:cs="Arial" w:eastAsia="Arial" w:hAnsi="Arial"/>
          <w:color w:val="0F172A"/>
          <w:sz w:val="24"/>
          <w:szCs w:val="24"/>
        </w:rPr>
        <w:t xml:space="preserve">A aceitação regular do núcleo familiar decorre, assim, do respeito absoluto à legalidade e ao pactuado, o que afasta de forma definitiva qualquer indício de fraude, simulação ou ardil por parte desta operadora.</w:t>
      </w:r>
    </w:p>
    <w:p>
      <w:pPr>
        <w:spacing w:after="100"/>
      </w:pPr>
    </w:p>
    <w:p>
      <w:pPr>
        <w:spacing w:after="100" w:before="80" w:line="360"/>
        <w:ind w:firstLine="720"/>
        <w:jc w:val="both"/>
      </w:pPr>
      <w:r>
        <w:rPr>
          <w:rFonts w:ascii="Arial" w:cs="Arial" w:eastAsia="Arial" w:hAnsi="Arial"/>
          <w:color w:val="0F172A"/>
          <w:sz w:val="24"/>
          <w:szCs w:val="24"/>
        </w:rPr>
        <w:t xml:space="preserve">A requalificação de um plano formalmente coletivo como individual por via de canais interpretativos viola, de modo frontal, o núcleo essencial da legalidade e da separação de poderes (art. 2º e art. 5º, II da CF). O legislador ordinário operou uma clara e legítima delegação de competência normativa e fiscalizatória à autarquia especial (Leis nº 9.656/98 e nº 9.961/2000), atribuindo à agência técnica a exclusiva missão de balancear a sustentabilidade atuarial do mercado de saúde suplementar. Invadir essa competência para alterar casuisticamente a natureza do pacto significa neutralizar a reserva de administração e transformar indevidamente o Judiciário em gestor atuarial do sistema, conforme brilhantemente concluiu o Ministro Luís Roberto Barroso:</w:t>
      </w:r>
    </w:p>
    <w:p>
      <w:pPr>
        <w:spacing w:after="100"/>
      </w:pPr>
    </w:p>
    <w:p>
      <w:pPr>
        <w:spacing w:after="140" w:before="120" w:line="240"/>
        <w:ind w:left="2268"/>
        <w:jc w:val="both"/>
      </w:pPr>
      <w:r>
        <w:rPr>
          <w:rFonts w:ascii="Arial" w:cs="Arial" w:eastAsia="Arial" w:hAnsi="Arial"/>
          <w:i/>
          <w:iCs/>
          <w:color w:val="334155"/>
          <w:sz w:val="20"/>
          <w:szCs w:val="20"/>
        </w:rPr>
        <w:t xml:space="preserve">"(...) Como visto, no caso dos planos coletivos com menos de 30 beneficiários, tal regulação contempla mecanismo específico para lidar com a maior vulnerabilidade do consumidor, preservar o mutualismo e evitar oscilações abruptas de sinistralidade: o agrupamento obrigatório de todos os contratos da mesma natureza da operadora. Assim, os reajustes decorrem de critérios técnicos previamente definidos em contrato, segundo parâmetros estabelecidos pela agência, vinculados à sinistralidade e à dinâmica do risco compartilhado entre o pool. A simples comparação com índices de planos individuais não é adequada, nem suficiente para caracterizar abusividade, sob pena de se desconsiderar a natureza e a função dos diferentes modelos contratuais."</w:t>
      </w:r>
    </w:p>
    <w:p>
      <w:pPr>
        <w:spacing w:after="100"/>
      </w:pPr>
    </w:p>
    <w:p>
      <w:pPr>
        <w:spacing w:after="100" w:before="80" w:line="360"/>
        <w:ind w:firstLine="720"/>
        <w:jc w:val="both"/>
      </w:pPr>
      <w:r>
        <w:rPr>
          <w:rFonts w:ascii="Arial" w:cs="Arial" w:eastAsia="Arial" w:hAnsi="Arial"/>
          <w:color w:val="0F172A"/>
          <w:sz w:val="24"/>
          <w:szCs w:val="24"/>
        </w:rPr>
        <w:t xml:space="preserve">A necessidade de autocontenção judicial ganha ainda mais relevo ao se analisar o impacto prático e a arquitetura financeira de cada modalidade. Nos planos individuais, o teto da autarquia dissocia parcialmente o preço da sinistralidade real, deslocando o risco atuarial para a gestão interna da operadora — o que, historicamente, motivou o desequilíbrio econômico crônico e a baixa comercialização desse produto pelas grandes companhias no mercado de varejo. Por outro lado, nos planos coletivos PME (de até 29 vidas), há um alinhamento direto entre custos e prêmios; essa dinâmica opera de forma protetiva e coletiva por meio do pool de risco (o agrupamento obrigatório de contratos), conforme determinado pelos artigos 37 e 38 da RN nº 565/2022 da ANS.</w:t>
      </w:r>
    </w:p>
    <w:p>
      <w:pPr>
        <w:spacing w:after="100"/>
      </w:pPr>
    </w:p>
    <w:p>
      <w:pPr>
        <w:spacing w:after="100" w:before="80" w:line="360"/>
        <w:ind w:firstLine="720"/>
        <w:jc w:val="both"/>
      </w:pPr>
      <w:r>
        <w:rPr>
          <w:rFonts w:ascii="Arial" w:cs="Arial" w:eastAsia="Arial" w:hAnsi="Arial"/>
          <w:color w:val="0F172A"/>
          <w:sz w:val="24"/>
          <w:szCs w:val="24"/>
        </w:rPr>
        <w:t xml:space="preserve">A impossibilidade de transmutação mecânica de regimes foi categoricamente pacificada pelo Superior Tribunal de Justiça no julgamento do REsp nº 2.233.632/SP (Quarta Turma, Rel. Min. Marco Buzzi, julgado em 30/09/2025, DJe de 02/10/2025), cuja ementa vinculante veda o hibridismo contratual:</w:t>
      </w:r>
    </w:p>
    <w:p>
      <w:pPr>
        <w:spacing w:after="100"/>
      </w:pPr>
    </w:p>
    <w:p>
      <w:pPr>
        <w:spacing w:after="140" w:before="120" w:line="240"/>
        <w:ind w:left="2268"/>
        <w:jc w:val="both"/>
      </w:pPr>
      <w:r>
        <w:rPr>
          <w:rFonts w:ascii="Arial" w:cs="Arial" w:eastAsia="Arial" w:hAnsi="Arial"/>
          <w:i/>
          <w:iCs/>
          <w:color w:val="334155"/>
          <w:sz w:val="20"/>
          <w:szCs w:val="20"/>
        </w:rPr>
        <w:t xml:space="preserve">"Os contratos coletivos, independentemente do número de beneficiários, têm forma de custeio diferente dos contratos individuais/familiares. Também os reajustes são diferenciados, sendo que somente os contratos individuais/familiares submetem-se aos índices aprovados pela ANS. (...) Independentemente do número de beneficiários, não é correto permitir que as partes beneficiadas com a contratação na forma coletiva, que via de regra tem valor mensal inferior, na sequência busquem a aplicação de índices de reajustes da modalidade individual previamente estabelecidos pela ANS, em prejuízo ao equilíbrio atuarial do contrato."</w:t>
      </w:r>
    </w:p>
    <w:p>
      <w:pPr>
        <w:spacing w:after="100"/>
      </w:pPr>
    </w:p>
    <w:p>
      <w:pPr>
        <w:spacing w:after="100" w:before="80" w:line="360"/>
        <w:ind w:firstLine="720"/>
        <w:jc w:val="both"/>
      </w:pPr>
      <w:r>
        <w:rPr>
          <w:rFonts w:ascii="Arial" w:cs="Arial" w:eastAsia="Arial" w:hAnsi="Arial"/>
          <w:color w:val="0F172A"/>
          <w:sz w:val="24"/>
          <w:szCs w:val="24"/>
        </w:rPr>
        <w:t xml:space="preserve">No mesmo sentido firma-se o REsp nº 1.553.013/SP (Rel. Min. Ricardo Villas Bôas Cueva), assentando que a precificação entre as modalidades é intrinsecamente diversa e não pode ser desfigurada, sob pena de violar a segurança jurídica e a comutatividade contratual.</w:t>
      </w:r>
    </w:p>
    <w:p>
      <w:pPr>
        <w:spacing w:after="100"/>
      </w:pPr>
    </w:p>
    <w:p>
      <w:pPr>
        <w:spacing w:after="100" w:before="80" w:line="360"/>
        <w:ind w:firstLine="720"/>
        <w:jc w:val="both"/>
      </w:pPr>
      <w:r>
        <w:rPr>
          <w:rFonts w:ascii="Arial" w:cs="Arial" w:eastAsia="Arial" w:hAnsi="Arial"/>
          <w:color w:val="0F172A"/>
          <w:sz w:val="24"/>
          <w:szCs w:val="24"/>
        </w:rPr>
        <w:t xml:space="preserve">Por consequência lógica e intransponível à higidez do contrato coletivo já demonstrada, pugna-se pelo imediato indeferimento de qualquer pleito de transmutação do contrato ou de substituição compulsória dos reajustes pelos índices anuais divulgados pela ANS exclusivos para a modalidade individual/familiar. É fato notório e incontroverso no mercado de saúde suplementar que a SulAmérica não comercializa planos de saúde na modalidade individual ou familiar desde o ano de 2005. Sendo assim, qualquer determinação judicial que acolhesse a tese autoral e impusesse à operadora a transmutação da relação contratual para um plano individual obrigaria a companhia ré a incorrer em flagrante infração administrativa perante a própria agência reguladora.</w:t>
      </w:r>
    </w:p>
    <w:p>
      <w:pPr>
        <w:spacing w:after="100"/>
      </w:pPr>
    </w:p>
    <w:p>
      <w:pPr>
        <w:spacing w:after="100" w:before="80" w:line="360"/>
        <w:ind w:firstLine="720"/>
        <w:jc w:val="both"/>
      </w:pPr>
      <w:r>
        <w:rPr>
          <w:rFonts w:ascii="Arial" w:cs="Arial" w:eastAsia="Arial" w:hAnsi="Arial"/>
          <w:color w:val="0F172A"/>
          <w:sz w:val="24"/>
          <w:szCs w:val="24"/>
        </w:rPr>
        <w:t xml:space="preserve">A impossibilidade absoluta de se impor à operadora a criação forçada de um vínculo não comercializado em seu portfólio para chancelar a esdrúxula tese do "falso coletivo" foi recentemente chancelada pelo Superior Tribunal de Justiça no Recurso Especial nº 2.180.820/MG (Relator Ministro Marco Buzzi, decisão de 19/12/2025):</w:t>
      </w:r>
    </w:p>
    <w:p>
      <w:pPr>
        <w:spacing w:after="100"/>
      </w:pPr>
    </w:p>
    <w:p>
      <w:pPr>
        <w:spacing w:after="140" w:before="120" w:line="240"/>
        <w:ind w:left="2268"/>
        <w:jc w:val="both"/>
      </w:pPr>
      <w:r>
        <w:rPr>
          <w:rFonts w:ascii="Arial" w:cs="Arial" w:eastAsia="Arial" w:hAnsi="Arial"/>
          <w:i/>
          <w:iCs/>
          <w:color w:val="334155"/>
          <w:sz w:val="20"/>
          <w:szCs w:val="20"/>
        </w:rPr>
        <w:t xml:space="preserve">"Isso porque o STJ firmou entendimento de que, embora a Resolução CONSU n. 19/1999 preveja a oferta de planos individuais em casos de cancelamento de planos coletivos, a operadora não está obrigada a disponibilizar tal modalidade na hipótese de não comercializar esse tipo de produto no mercado. Obrigá-la a criar um produto em sua carteira violaria os princípios da livre iniciativa e do equilíbrio atuarial."</w:t>
      </w:r>
    </w:p>
    <w:p>
      <w:pPr>
        <w:spacing w:after="120" w:before="240"/>
      </w:pPr>
    </w:p>
    <w:p>
      <w:pPr>
        <w:spacing w:after="180" w:before="280"/>
        <w:jc w:val="center"/>
      </w:pPr>
      <w:r>
        <w:rPr>
          <w:rFonts w:ascii="Arial" w:cs="Arial" w:eastAsia="Arial" w:hAnsi="Arial"/>
          <w:b/>
          <w:bCs/>
          <w:color w:val="0F172A"/>
          <w:sz w:val="24"/>
          <w:szCs w:val="24"/>
        </w:rPr>
        <w:t xml:space="preserve">DA CONSOLIDAÇÃO DO PACTO PELA BOA-FÉ TEMPORAL: SUPRESSIO E SURRECTIO</w:t>
      </w:r>
    </w:p>
    <w:p>
      <w:pPr>
        <w:spacing w:after="100"/>
      </w:pPr>
    </w:p>
    <w:p>
      <w:pPr>
        <w:spacing w:after="100" w:before="80" w:line="360"/>
        <w:ind w:firstLine="720"/>
        <w:jc w:val="both"/>
      </w:pPr>
      <w:r>
        <w:rPr>
          <w:rFonts w:ascii="Arial" w:cs="Arial" w:eastAsia="Arial" w:hAnsi="Arial"/>
          <w:color w:val="0F172A"/>
          <w:sz w:val="24"/>
          <w:szCs w:val="24"/>
        </w:rPr>
        <w:t xml:space="preserve">Além das consequências sistêmicas da pretensão autoral, a própria dinâmica contratual mantida entre as partes também impede a revisão retroativa dos reajustes, por força dos institutos parcelares da boa-fé objetiva.</w:t>
      </w:r>
    </w:p>
    <w:p>
      <w:pPr>
        <w:spacing w:after="100"/>
      </w:pPr>
    </w:p>
    <w:p>
      <w:pPr>
        <w:spacing w:after="100" w:before="80" w:line="360"/>
        <w:ind w:firstLine="720"/>
        <w:jc w:val="both"/>
      </w:pPr>
      <w:r>
        <w:rPr>
          <w:rFonts w:ascii="Arial" w:cs="Arial" w:eastAsia="Arial" w:hAnsi="Arial"/>
          <w:color w:val="0F172A"/>
          <w:sz w:val="24"/>
          <w:szCs w:val="24"/>
        </w:rPr>
        <w:t xml:space="preserve">O comportamento da parte autora, que adimpliu pontualmente e de forma continuada os prêmios reajustados por sinistralidade e variação de custos (VCMH) ao longo de diversos ciclos anuais sem qualquer ressalva ou oposição administrativa prévia, consolidou a metodologia técnica no tempo.</w:t>
      </w:r>
    </w:p>
    <w:p>
      <w:pPr>
        <w:spacing w:after="100"/>
      </w:pPr>
    </w:p>
    <w:p>
      <w:pPr>
        <w:spacing w:after="100" w:before="80" w:line="360"/>
        <w:ind w:firstLine="720"/>
        <w:jc w:val="both"/>
      </w:pPr>
      <w:r>
        <w:rPr>
          <w:rFonts w:ascii="Arial" w:cs="Arial" w:eastAsia="Arial" w:hAnsi="Arial"/>
          <w:color w:val="0F172A"/>
          <w:sz w:val="24"/>
          <w:szCs w:val="24"/>
        </w:rPr>
        <w:t xml:space="preserve">Sob a égide do Direito Civil contemporâneo, opera-se a supressio do pretenso direito de impugnar retroativamente as bases contratuais, dada a legítima expectativa de estabilidade gerada na operadora de saúde.</w:t>
      </w:r>
    </w:p>
    <w:p>
      <w:pPr>
        <w:spacing w:after="100"/>
      </w:pPr>
    </w:p>
    <w:p>
      <w:pPr>
        <w:spacing w:after="100" w:before="80" w:line="360"/>
        <w:ind w:firstLine="720"/>
        <w:jc w:val="both"/>
      </w:pPr>
      <w:r>
        <w:rPr>
          <w:rFonts w:ascii="Arial" w:cs="Arial" w:eastAsia="Arial" w:hAnsi="Arial"/>
          <w:color w:val="0F172A"/>
          <w:sz w:val="24"/>
          <w:szCs w:val="24"/>
        </w:rPr>
        <w:t xml:space="preserve">Simetricamente a esse fenômeno, incide a figura da surrectio, consolidando de forma inafastável o modelo coletivo e o mutualismo praticado de comum acordo pelas partes ao longo da execução contínua do contrato.</w:t>
      </w:r>
    </w:p>
    <w:p>
      <w:pPr>
        <w:spacing w:after="100"/>
      </w:pPr>
    </w:p>
    <w:p>
      <w:pPr>
        <w:spacing w:after="100" w:before="80" w:line="360"/>
        <w:ind w:firstLine="720"/>
        <w:jc w:val="both"/>
      </w:pPr>
      <w:r>
        <w:rPr>
          <w:rFonts w:ascii="Arial" w:cs="Arial" w:eastAsia="Arial" w:hAnsi="Arial"/>
          <w:color w:val="0F172A"/>
          <w:sz w:val="24"/>
          <w:szCs w:val="24"/>
        </w:rPr>
        <w:t xml:space="preserve">Permitir a desconstituição judicial de reajustes perfectibilizados, cobrados com lastro em cláusulas expressas e aceitos tacitamente pelo reiterado pagamento, seria fulminar a segurança jurídica e ignorar a consolidação das situações fáticas pelo decurso do tempo. Alterar o índice de forma retroativa causa um déficit financeiro irreparável ao fundo mútuo, exaurindo recursos que já foram consumidos e liquidados no custeio dos sinistros da própria época.</w:t>
      </w:r>
    </w:p>
    <w:p>
      <w:pPr>
        <w:spacing w:after="100"/>
      </w:pPr>
    </w:p>
    <w:p>
      <w:pPr>
        <w:spacing w:after="100" w:before="80" w:line="360"/>
        <w:ind w:firstLine="720"/>
        <w:jc w:val="both"/>
      </w:pPr>
      <w:r>
        <w:rPr>
          <w:rFonts w:ascii="Arial" w:cs="Arial" w:eastAsia="Arial" w:hAnsi="Arial"/>
          <w:color w:val="0F172A"/>
          <w:sz w:val="24"/>
          <w:szCs w:val="24"/>
        </w:rPr>
        <w:t xml:space="preserve">Por consequência, requer-se o julgamento de total improcedência dos pedidos revisionais retroativos e restitutórios formulados, em razão da consolidação histórica da metodologia atuarial pelo adimplemento continuado e sem oposição por diversos ciclos anuais, operando-se os institutos da supressio e da surrectio para resguardar a estabilidade do pacto, nos termos do artigo 421 do Código Civil, o que impede de forma cabal a invalidação retroativa do histórico tarifário chancelado pelas partes.</w:t>
      </w:r>
    </w:p>
    <w:p>
      <w:pPr>
        <w:spacing w:after="120" w:before="240"/>
      </w:pPr>
    </w:p>
    <w:p>
      <w:pPr>
        <w:spacing w:after="180" w:before="280"/>
        <w:jc w:val="center"/>
      </w:pPr>
      <w:r>
        <w:rPr>
          <w:rFonts w:ascii="Arial" w:cs="Arial" w:eastAsia="Arial" w:hAnsi="Arial"/>
          <w:b/>
          <w:bCs/>
          <w:color w:val="0F172A"/>
          <w:sz w:val="24"/>
          <w:szCs w:val="24"/>
        </w:rPr>
        <w:t xml:space="preserve">DA LEGALIDADE DO AGRUPAMENTO DE CONTRATOS E DO PERCENTUAL DE REAJUSTE ÚNICO (PRU)</w:t>
      </w:r>
    </w:p>
    <w:p>
      <w:pPr>
        <w:spacing w:after="100"/>
      </w:pPr>
    </w:p>
    <w:p>
      <w:pPr>
        <w:spacing w:after="100" w:before="80" w:line="360"/>
        <w:ind w:firstLine="720"/>
        <w:jc w:val="both"/>
      </w:pPr>
      <w:r>
        <w:rPr>
          <w:rFonts w:ascii="Arial" w:cs="Arial" w:eastAsia="Arial" w:hAnsi="Arial"/>
          <w:color w:val="0F172A"/>
          <w:sz w:val="24"/>
          <w:szCs w:val="24"/>
        </w:rPr>
        <w:t xml:space="preserve">Afastada a tentativa de transmutação do contrato e preservada a sua natureza coletiva empresarial, cumpre examinar o mecanismo regulatório que disciplina os reajustes dos contratos com até 29 vidas: o agrupamento obrigatório e o respectivo Percentual de Reajuste Único (PRU).</w:t>
      </w:r>
    </w:p>
    <w:p>
      <w:pPr>
        <w:spacing w:after="100"/>
      </w:pPr>
    </w:p>
    <w:p>
      <w:pPr>
        <w:spacing w:after="100" w:before="80" w:line="360"/>
        <w:ind w:firstLine="720"/>
        <w:jc w:val="both"/>
      </w:pPr>
      <w:r>
        <w:rPr>
          <w:rFonts w:ascii="Arial" w:cs="Arial" w:eastAsia="Arial" w:hAnsi="Arial"/>
          <w:color w:val="0F172A"/>
          <w:sz w:val="24"/>
          <w:szCs w:val="24"/>
        </w:rPr>
        <w:t xml:space="preserve">Por essa razão, a normatização setorial, hoje materializada nos artigos 37 e 38 da Resolução Normativa nº 565/2022 da ANS, estabelece que é obrigatório às operadoras de planos privados de assistência à saúde formar um agrupamento com todos os seus contratos coletivos com menos de trinta beneficiários para a extração da métrica que será aplicada a esse mesmo agrupamento.</w:t>
      </w:r>
    </w:p>
    <w:p>
      <w:pPr>
        <w:spacing w:after="100"/>
      </w:pPr>
    </w:p>
    <w:p>
      <w:pPr>
        <w:spacing w:after="100" w:before="80" w:line="360"/>
        <w:ind w:firstLine="720"/>
        <w:jc w:val="both"/>
      </w:pPr>
      <w:r>
        <w:rPr>
          <w:rFonts w:ascii="Arial" w:cs="Arial" w:eastAsia="Arial" w:hAnsi="Arial"/>
          <w:color w:val="0F172A"/>
          <w:sz w:val="24"/>
          <w:szCs w:val="24"/>
        </w:rPr>
        <w:t xml:space="preserve">Por imperativo normativo e matemático, o cálculo do reajuste aplicável a essa carteira não constitui um ato de arbítrio ou de conveniência unilateral da operadora ré, mas sim a estrita aplicação de uma equação rigorosa e complexa que resulta na apuração do Percentual de Reajuste Único (PRU).</w:t>
      </w:r>
    </w:p>
    <w:p>
      <w:pPr>
        <w:spacing w:after="100"/>
      </w:pPr>
    </w:p>
    <w:p>
      <w:pPr>
        <w:spacing w:after="100" w:before="80" w:line="360"/>
        <w:ind w:firstLine="720"/>
        <w:jc w:val="both"/>
      </w:pPr>
      <w:r>
        <w:rPr>
          <w:rFonts w:ascii="Arial" w:cs="Arial" w:eastAsia="Arial" w:hAnsi="Arial"/>
          <w:color w:val="0F172A"/>
          <w:sz w:val="24"/>
          <w:szCs w:val="24"/>
        </w:rPr>
        <w:t xml:space="preserve">Este percentual linear é obtido mediante a ponderação simultânea de dois fatores dinâmicos apurados globalmente em todo o pool: o Índice de Variação de Custos Médico-Hospitalares (VCMH), que mede a evolução real da inflação médica e o aumento da frequência de utilização tecnológica no setor, e o Índice de Reajuste por Sinistralidade (IRS). O IRS, por sua vez, reflete a relação direta entre o total de despesas assistenciais e as receitas de prêmios de todo o agrupamento de contratos, confrontando esse resultado com a sinistralidade referencial (ponto de equilíbrio) preestabelecida no patamar técnico de 65%.</w:t>
      </w:r>
    </w:p>
    <w:p>
      <w:pPr>
        <w:spacing w:after="100"/>
      </w:pPr>
    </w:p>
    <w:p>
      <w:pPr>
        <w:spacing w:after="100" w:before="80" w:line="360"/>
        <w:ind w:firstLine="720"/>
        <w:jc w:val="both"/>
      </w:pPr>
      <w:r>
        <w:rPr>
          <w:rFonts w:ascii="Arial" w:cs="Arial" w:eastAsia="Arial" w:hAnsi="Arial"/>
          <w:color w:val="0F172A"/>
          <w:sz w:val="24"/>
          <w:szCs w:val="24"/>
        </w:rPr>
        <w:t xml:space="preserve">Portanto, o reajuste linear do pool visa garantir a solvência e a sustentabilidade econômica do fundo mútuo, sendo inviável a sua desconstituição judicial por meras presunções.</w:t>
      </w:r>
    </w:p>
    <w:p>
      <w:pPr>
        <w:spacing w:after="100"/>
      </w:pPr>
    </w:p>
    <w:p>
      <w:pPr>
        <w:spacing w:after="100" w:before="80" w:line="360"/>
        <w:ind w:firstLine="720"/>
        <w:jc w:val="both"/>
      </w:pPr>
      <w:r>
        <w:rPr>
          <w:rFonts w:ascii="Arial" w:cs="Arial" w:eastAsia="Arial" w:hAnsi="Arial"/>
          <w:color w:val="0F172A"/>
          <w:sz w:val="24"/>
          <w:szCs w:val="24"/>
        </w:rPr>
        <w:t xml:space="preserve">O funcionamento da saúde suplementar estrutura-se fundamentalmente sobre o mutualismo e a solidariedade financeira entre os participantes. Para que o fundo mútuo seja solvente e preserve sua liquidez frente à álea contratual, a exigência de submissão do contrato da parte autora ao índice unificado do agrupamento não é, portanto, uma faculdade, mas uma obrigação imposta à SulAmérica.</w:t>
      </w:r>
    </w:p>
    <w:p>
      <w:pPr>
        <w:spacing w:after="100"/>
      </w:pPr>
    </w:p>
    <w:p>
      <w:pPr>
        <w:spacing w:after="100" w:before="80" w:line="360"/>
        <w:ind w:firstLine="720"/>
        <w:jc w:val="both"/>
      </w:pPr>
      <w:r>
        <w:rPr>
          <w:rFonts w:ascii="Arial" w:cs="Arial" w:eastAsia="Arial" w:hAnsi="Arial"/>
          <w:color w:val="0F172A"/>
          <w:sz w:val="24"/>
          <w:szCs w:val="24"/>
        </w:rPr>
        <w:t xml:space="preserve">Desvincular um microcoletivo de sua base de risco originária para beneficiá-lo individualmente com índices inferiores aplicáveis a naturezas jurídicas estranhas à sua contratação romperia a integridade da equação mutualística e representaria uma infração regulatória severa por parte da seguradora.</w:t>
      </w:r>
    </w:p>
    <w:p>
      <w:pPr>
        <w:spacing w:after="100"/>
      </w:pPr>
    </w:p>
    <w:p>
      <w:pPr>
        <w:spacing w:after="100" w:before="80" w:line="360"/>
        <w:ind w:firstLine="720"/>
        <w:jc w:val="both"/>
      </w:pPr>
      <w:r>
        <w:rPr>
          <w:rFonts w:ascii="Arial" w:cs="Arial" w:eastAsia="Arial" w:hAnsi="Arial"/>
          <w:color w:val="0F172A"/>
          <w:sz w:val="24"/>
          <w:szCs w:val="24"/>
        </w:rPr>
        <w:t xml:space="preserve">Ante a absoluta higidez deste regime, requer-se seja julgado totalmente improcedente o pedido autoral, reconhecendo-se a estrita legalidade do modelo de agrupamento compulsório e a regularidade atuarial do cálculo do Percentual de Reajuste Único (PRU) linearmente aplicado a todo o pool de risco de até 29 vidas, em estrita obediência aos preceitos dos artigos 37 e 38 da RN nº 565/2022 da ANS.</w:t>
      </w:r>
    </w:p>
    <w:p>
      <w:pPr>
        <w:spacing w:after="120" w:before="240"/>
      </w:pPr>
    </w:p>
    <w:p>
      <w:pPr>
        <w:spacing w:after="180" w:before="280"/>
        <w:jc w:val="center"/>
      </w:pPr>
      <w:r>
        <w:rPr>
          <w:rFonts w:ascii="Arial" w:cs="Arial" w:eastAsia="Arial" w:hAnsi="Arial"/>
          <w:b/>
          <w:bCs/>
          <w:color w:val="0F172A"/>
          <w:sz w:val="24"/>
          <w:szCs w:val="24"/>
        </w:rPr>
        <w:t xml:space="preserve">DA PROVA TÉCNICA E ATUARIAL DOS REAJUSTES</w:t>
      </w:r>
    </w:p>
    <w:p>
      <w:pPr>
        <w:spacing w:after="100"/>
      </w:pPr>
    </w:p>
    <w:p>
      <w:pPr>
        <w:spacing w:after="100" w:before="80" w:line="360"/>
        <w:ind w:firstLine="720"/>
        <w:jc w:val="both"/>
      </w:pPr>
      <w:r>
        <w:rPr>
          <w:rFonts w:ascii="Arial" w:cs="Arial" w:eastAsia="Arial" w:hAnsi="Arial"/>
          <w:color w:val="0F172A"/>
          <w:sz w:val="24"/>
          <w:szCs w:val="24"/>
        </w:rPr>
        <w:t xml:space="preserve">Definida a base regulatória do agrupamento e do PRU, impõe-se demonstrar que os índices efetivamente aplicados contam com lastro documental, técnico e atuarial suficiente, afastando a alegação de reajustes aleatórios, unilaterais ou desprovidos de transparência.</w:t>
      </w:r>
    </w:p>
    <w:p>
      <w:pPr>
        <w:spacing w:after="100"/>
      </w:pPr>
    </w:p>
    <w:p>
      <w:pPr>
        <w:spacing w:after="100" w:before="80" w:line="360"/>
        <w:ind w:firstLine="720"/>
        <w:jc w:val="both"/>
      </w:pPr>
      <w:r>
        <w:rPr>
          <w:rFonts w:ascii="Arial" w:cs="Arial" w:eastAsia="Arial" w:hAnsi="Arial"/>
          <w:color w:val="0F172A"/>
          <w:sz w:val="24"/>
          <w:szCs w:val="24"/>
        </w:rPr>
        <w:t xml:space="preserve">Para eliminar qualquer dúvida acerca da lisura, idoneidade e exatidão matemática dos índices apurados, a SulAmérica submete, historicamente, toda a sua base de dados e a metodologia de cálculo preestabelecida nas Condições Gerais a rigorosas auditorias independentes de prestígio global.</w:t>
      </w:r>
    </w:p>
    <w:p>
      <w:pPr>
        <w:spacing w:after="100"/>
      </w:pPr>
    </w:p>
    <w:p>
      <w:pPr>
        <w:spacing w:after="100" w:before="80" w:line="360"/>
        <w:ind w:firstLine="720"/>
        <w:jc w:val="both"/>
      </w:pPr>
      <w:r>
        <w:rPr>
          <w:rFonts w:ascii="Arial" w:cs="Arial" w:eastAsia="Arial" w:hAnsi="Arial"/>
          <w:color w:val="0F172A"/>
          <w:sz w:val="24"/>
          <w:szCs w:val="24"/>
        </w:rPr>
        <w:t xml:space="preserve">Os Relatórios de Procedimentos Previamente Acordados (PPAs), emitidos anualmente pelas conceituadas firmas de auditagem, atestam a formação do agrupamento e chancelam de forma absoluta a correção dos cálculos do PRU, demonstrando, perante as metodologias do mercado e da ANS, que os percentuais aplicados não ostentam qualquer traço de aleatoriedade, generalidade ou abusividade.</w:t>
      </w:r>
    </w:p>
    <w:p>
      <w:pPr>
        <w:spacing w:after="100"/>
      </w:pPr>
    </w:p>
    <w:p>
      <w:pPr>
        <w:spacing w:after="100" w:before="80" w:line="360"/>
        <w:ind w:firstLine="720"/>
        <w:jc w:val="both"/>
      </w:pPr>
      <w:r>
        <w:rPr>
          <w:rFonts w:ascii="Arial" w:cs="Arial" w:eastAsia="Arial" w:hAnsi="Arial"/>
          <w:color w:val="0F172A"/>
          <w:sz w:val="24"/>
          <w:szCs w:val="24"/>
        </w:rPr>
        <w:t xml:space="preserve">Mais do que a demonstração de estrita legalidade, a prova atuarial evidencia que a operadora ré, na contramão da alegada onerosidade excessiva, frequentemente adota uma postura comercial de mitigação dos impactos financeiros aos seus segurados.</w:t>
      </w:r>
    </w:p>
    <w:p>
      <w:pPr>
        <w:spacing w:after="100"/>
      </w:pPr>
    </w:p>
    <w:p>
      <w:pPr>
        <w:spacing w:after="100" w:before="80" w:line="360"/>
        <w:ind w:firstLine="720"/>
        <w:jc w:val="both"/>
      </w:pPr>
      <w:r>
        <w:rPr>
          <w:rFonts w:ascii="Arial" w:cs="Arial" w:eastAsia="Arial" w:hAnsi="Arial"/>
          <w:color w:val="0F172A"/>
          <w:sz w:val="24"/>
          <w:szCs w:val="24"/>
        </w:rPr>
        <w:t xml:space="preserve">Historicamente, conforme atestado por exaustivos laudos periciais em demandas análogas de controle de pool, a SulAmérica tem aplicado aos contratos PME reajustes efetivos em patamares substancialmente inferiores aos índices técnicos matematicamente apurados como necessários pelas auditorias para o pleno reequilíbrio da carteira. Trata-se de inquestionável liberalidade da operadora que beneficia diretamente a coletividade das empresas estipulantes, esvaziando por completo a falácia de que haveria obtenção de vantagem exagerada pela seguradora.</w:t>
      </w:r>
    </w:p>
    <w:p>
      <w:pPr>
        <w:spacing w:after="100"/>
      </w:pPr>
    </w:p>
    <w:p>
      <w:pPr>
        <w:spacing w:after="100" w:before="80" w:line="360"/>
        <w:ind w:firstLine="720"/>
        <w:jc w:val="both"/>
      </w:pPr>
      <w:r>
        <w:rPr>
          <w:rFonts w:ascii="Arial" w:cs="Arial" w:eastAsia="Arial" w:hAnsi="Arial"/>
          <w:color w:val="0F172A"/>
          <w:sz w:val="24"/>
          <w:szCs w:val="24"/>
        </w:rPr>
        <w:t xml:space="preserve">Sendo assim, diante da irrefutável comprovação de que os reajustes de Sinistralidade e VCMH decorrem de expressa previsão contratual e encontram-se plenamente justificados por sólida base atuarial e relatórios de auditoria independente, desmorona a alegação genérica de abusividade.</w:t>
      </w:r>
    </w:p>
    <w:p>
      <w:pPr>
        <w:spacing w:after="100"/>
      </w:pPr>
    </w:p>
    <w:p>
      <w:pPr>
        <w:spacing w:after="100" w:before="80" w:line="360"/>
        <w:ind w:firstLine="720"/>
        <w:jc w:val="both"/>
      </w:pPr>
      <w:r>
        <w:rPr>
          <w:rFonts w:ascii="Arial" w:cs="Arial" w:eastAsia="Arial" w:hAnsi="Arial"/>
          <w:color w:val="0F172A"/>
          <w:sz w:val="24"/>
          <w:szCs w:val="24"/>
        </w:rPr>
        <w:t xml:space="preserve">Consequentemente, requer a total improcedência da demanda revisional e do pretenso pleito restitutório financeiro, ante a comprovação cabal de que a evolução dos preços do contrato possui estrito lastro regulatório e contratual, correspondendo à real Variação de Custos Médico-Hospitalares (VCMH) e à sinistralidade fática da carteira auditada de até 29 vidas, em estrita obediência aos preceitos dos artigos 37 e 38 da RN nº 565/2022 da ANS.</w:t>
      </w:r>
    </w:p>
    <w:p>
      <w:pPr>
        <w:spacing w:after="120" w:before="240"/>
      </w:pPr>
    </w:p>
    <w:p>
      <w:pPr>
        <w:spacing w:after="180" w:before="280"/>
        <w:jc w:val="center"/>
      </w:pPr>
      <w:r>
        <w:rPr>
          <w:rFonts w:ascii="Arial" w:cs="Arial" w:eastAsia="Arial" w:hAnsi="Arial"/>
          <w:b/>
          <w:bCs/>
          <w:color w:val="0F172A"/>
          <w:sz w:val="24"/>
          <w:szCs w:val="24"/>
        </w:rPr>
        <w:t xml:space="preserve">DAS CONSEQUÊNCIAS SISTÊMICAS: MUTUALISMO, EQUILÍBRIO ATUARIAL E EFEITO FREE-RIDER</w:t>
      </w:r>
    </w:p>
    <w:p>
      <w:pPr>
        <w:spacing w:after="100"/>
      </w:pPr>
    </w:p>
    <w:p>
      <w:pPr>
        <w:spacing w:after="100" w:before="80" w:line="360"/>
        <w:ind w:firstLine="720"/>
        <w:jc w:val="both"/>
      </w:pPr>
      <w:r>
        <w:rPr>
          <w:rFonts w:ascii="Arial" w:cs="Arial" w:eastAsia="Arial" w:hAnsi="Arial"/>
          <w:color w:val="0F172A"/>
          <w:sz w:val="24"/>
          <w:szCs w:val="24"/>
        </w:rPr>
        <w:t xml:space="preserve">Comprovada a regularidade técnica dos reajustes, resta evidenciar que a pretensão revisional não afeta apenas a relação bilateral entre as partes, mas repercute diretamente sobre o fundo comum e sobre os demais integrantes do agrupamento.</w:t>
      </w:r>
    </w:p>
    <w:p>
      <w:pPr>
        <w:spacing w:after="100"/>
      </w:pPr>
    </w:p>
    <w:p>
      <w:pPr>
        <w:spacing w:after="100" w:before="80" w:line="360"/>
        <w:ind w:firstLine="720"/>
        <w:jc w:val="both"/>
      </w:pPr>
      <w:r>
        <w:rPr>
          <w:rFonts w:ascii="Arial" w:cs="Arial" w:eastAsia="Arial" w:hAnsi="Arial"/>
          <w:color w:val="0F172A"/>
          <w:sz w:val="24"/>
          <w:szCs w:val="24"/>
        </w:rPr>
        <w:t xml:space="preserve">Ao se pretender blindar judicialmente um contrato de forma casuística e desconectada da realidade de seu agrupamento, o déficit financeiro gerado por este pacto não é magicamente absorvido pela operadora; ao revés, ele é obrigatoriamente redistribuído e repassado aos demais consumidores e microempresas que integram o pool de risco.</w:t>
      </w:r>
    </w:p>
    <w:p>
      <w:pPr>
        <w:spacing w:after="100"/>
      </w:pPr>
    </w:p>
    <w:p>
      <w:pPr>
        <w:spacing w:after="100" w:before="80" w:line="360"/>
        <w:ind w:firstLine="720"/>
        <w:jc w:val="both"/>
      </w:pPr>
      <w:r>
        <w:rPr>
          <w:rFonts w:ascii="Arial" w:cs="Arial" w:eastAsia="Arial" w:hAnsi="Arial"/>
          <w:color w:val="0F172A"/>
          <w:sz w:val="24"/>
          <w:szCs w:val="24"/>
        </w:rPr>
        <w:t xml:space="preserve">Ao tentar obter a substituição dos reajustes de forma artificial e esquivar-se de sua contrapartida financeira, a parte autora busca instituir no sistema a figura do “beneficiário carona” (efeito free-rider). Configura-se, com nitidez, o comportamento daquele que extrai as vantagens individuais e a segurança do sistema de saúde suplementar, sem, contudo, arcar com a contribuição matematicamente proporcional aos seus custos, onerando de forma direta e parasitária a massa de consumidores idôneos que cumprem o pactuado.</w:t>
      </w:r>
    </w:p>
    <w:p>
      <w:pPr>
        <w:spacing w:after="100"/>
      </w:pPr>
    </w:p>
    <w:p>
      <w:pPr>
        <w:spacing w:after="100" w:before="80" w:line="360"/>
        <w:ind w:firstLine="720"/>
        <w:jc w:val="both"/>
      </w:pPr>
      <w:r>
        <w:rPr>
          <w:rFonts w:ascii="Arial" w:cs="Arial" w:eastAsia="Arial" w:hAnsi="Arial"/>
          <w:color w:val="0F172A"/>
          <w:sz w:val="24"/>
          <w:szCs w:val="24"/>
        </w:rPr>
        <w:t xml:space="preserve">A desconstituição judicial de índices legítimos faz com que o litigante desfrute de serviços de alto custo sem arcar com a contrapartida proporcional. Como os custos médicos reais são dinâmicos e não desaparecem por decisão judicial, esse défice financeiro individual é obrigatoriamente socializado e rateado entre as demais microempresas que integram o agrupamento (pool de risco), transferindo o benefício a um único agente em detrimento da coletividade.</w:t>
      </w:r>
    </w:p>
    <w:p>
      <w:pPr>
        <w:spacing w:after="100"/>
      </w:pPr>
    </w:p>
    <w:p>
      <w:pPr>
        <w:spacing w:after="140" w:before="120" w:line="240"/>
        <w:ind w:left="2268"/>
        <w:jc w:val="both"/>
      </w:pPr>
      <w:r>
        <w:rPr>
          <w:rFonts w:ascii="Arial" w:cs="Arial" w:eastAsia="Arial" w:hAnsi="Arial"/>
          <w:i/>
          <w:iCs/>
          <w:color w:val="334155"/>
          <w:sz w:val="20"/>
          <w:szCs w:val="20"/>
        </w:rPr>
        <w:t xml:space="preserve">Do ponto de vista econômico, o parecerista Barroso sintetiza o paradoxo: "há o problema do free-rider, em que os beneficiários que litigam obtêm vantagem individual de redução do valor das mensalidades, desfrutando dos serviços de saúde sem arcar proporcionalmente com seus custos, às expensas do equilíbrio atuarial do restante do agrupamento. Os ônus difusos são socializados, enquanto os benefícios são apropriados individualmente. (...) A limitação judicial de reajustes para determinados beneficiários não elimina o custo assistencial correspondente; apenas o redistribui."</w:t>
      </w:r>
    </w:p>
    <w:p>
      <w:pPr>
        <w:spacing w:after="100"/>
      </w:pPr>
    </w:p>
    <w:p>
      <w:pPr>
        <w:spacing w:after="100" w:before="80" w:line="360"/>
        <w:ind w:firstLine="720"/>
        <w:jc w:val="both"/>
      </w:pPr>
      <w:r>
        <w:rPr>
          <w:rFonts w:ascii="Arial" w:cs="Arial" w:eastAsia="Arial" w:hAnsi="Arial"/>
          <w:color w:val="0F172A"/>
          <w:sz w:val="24"/>
          <w:szCs w:val="24"/>
        </w:rPr>
        <w:t xml:space="preserve">A multiplicação dessas decisões gera uma autêntica "tragédia dos comuns", exaurindo o fundo mútuo coletivo que protege a totalidade dos segurados. A chancela jurisdicional a essa pretensão representaria um golpe gravoso contra a arquitetura do sistema e a viabilidade da prestação de serviços à saúde, premiando o individualismo em detrimento da higidez atuarial.</w:t>
      </w:r>
    </w:p>
    <w:p>
      <w:pPr>
        <w:spacing w:after="100"/>
      </w:pPr>
    </w:p>
    <w:p>
      <w:pPr>
        <w:spacing w:after="100" w:before="80" w:line="360"/>
        <w:ind w:firstLine="720"/>
        <w:jc w:val="both"/>
      </w:pPr>
      <w:r>
        <w:rPr>
          <w:rFonts w:ascii="Arial" w:cs="Arial" w:eastAsia="Arial" w:hAnsi="Arial"/>
          <w:color w:val="0F172A"/>
          <w:sz w:val="24"/>
          <w:szCs w:val="24"/>
        </w:rPr>
        <w:t xml:space="preserve">Desse modo, requer-se a total improcedência dos pedidos formulados pela parte autora, assegurando-se a prevalência do interesse coletivo da carteira e a proteção do fundo mútuo contra pretensões individuais assimétricas, a fim de evitar a injusta socialização de prejuízos e o desequilíbrio sistêmico (efeito free-rider) no agrupamento de risco.</w:t>
      </w:r>
    </w:p>
    <w:p>
      <w:pPr>
        <w:spacing w:after="120" w:before="240"/>
      </w:pPr>
    </w:p>
    <w:p>
      <w:pPr>
        <w:spacing w:after="180" w:before="280"/>
        <w:jc w:val="center"/>
      </w:pPr>
      <w:r>
        <w:rPr>
          <w:rFonts w:ascii="Arial" w:cs="Arial" w:eastAsia="Arial" w:hAnsi="Arial"/>
          <w:b/>
          <w:bCs/>
          <w:color w:val="0F172A"/>
          <w:sz w:val="24"/>
          <w:szCs w:val="24"/>
        </w:rPr>
        <w:t xml:space="preserve">DA PROVA EMPRESTADA E DA PERÍCIA ATUARIAL SUBSIDIÁRIA</w:t>
      </w:r>
    </w:p>
    <w:p>
      <w:pPr>
        <w:spacing w:after="100"/>
      </w:pPr>
    </w:p>
    <w:p>
      <w:pPr>
        <w:spacing w:after="100" w:before="80" w:line="360"/>
        <w:ind w:firstLine="720"/>
        <w:jc w:val="both"/>
      </w:pPr>
      <w:r>
        <w:rPr>
          <w:rFonts w:ascii="Arial" w:cs="Arial" w:eastAsia="Arial" w:hAnsi="Arial"/>
          <w:color w:val="0F172A"/>
          <w:sz w:val="24"/>
          <w:szCs w:val="24"/>
        </w:rPr>
        <w:t xml:space="preserve">Caso ainda se entenda necessária alguma dilação probatória, a controvérsia instaurada nestes autos ostenta natureza eminentemente técnica, econômica e atuarial, o que reforça a indispensabilidade de prova especializada.</w:t>
      </w:r>
    </w:p>
    <w:p>
      <w:pPr>
        <w:spacing w:after="100"/>
      </w:pPr>
    </w:p>
    <w:p>
      <w:pPr>
        <w:spacing w:after="100" w:before="80" w:line="360"/>
        <w:ind w:firstLine="720"/>
        <w:jc w:val="both"/>
      </w:pPr>
      <w:r>
        <w:rPr>
          <w:rFonts w:ascii="Arial" w:cs="Arial" w:eastAsia="Arial" w:hAnsi="Arial"/>
          <w:color w:val="0F172A"/>
          <w:sz w:val="24"/>
          <w:szCs w:val="24"/>
        </w:rPr>
        <w:t xml:space="preserve">A pretensão da parte autora orbita em torno da declaração de abusividade e consequente anulação dos reajustes anuais técnicos (VCMH e Sinistralidade) aplicados ao longo da relação contratual, almejando a imposição transversa dos índices-teto definidos pela Agência Nacional de Saúde Suplementar (ANS) exclusivamente para a categoria de planos individuais.</w:t>
      </w:r>
    </w:p>
    <w:p>
      <w:pPr>
        <w:spacing w:after="100"/>
      </w:pPr>
    </w:p>
    <w:p>
      <w:pPr>
        <w:spacing w:after="100" w:before="80" w:line="360"/>
        <w:ind w:firstLine="720"/>
        <w:jc w:val="both"/>
      </w:pPr>
      <w:r>
        <w:rPr>
          <w:rFonts w:ascii="Arial" w:cs="Arial" w:eastAsia="Arial" w:hAnsi="Arial"/>
          <w:color w:val="0F172A"/>
          <w:sz w:val="24"/>
          <w:szCs w:val="24"/>
        </w:rPr>
        <w:t xml:space="preserve">Contudo, a verificação da regularidade matemática e da adequação financeira dos percentuais praticados pela operadora no ecossistema do agrupamento de contratos coletivos empresariais (pool de risco com até 29 vidas) exige, de forma intransponível, uma acurada e especializada análise probatória.</w:t>
      </w:r>
    </w:p>
    <w:p>
      <w:pPr>
        <w:spacing w:after="100"/>
      </w:pPr>
    </w:p>
    <w:p>
      <w:pPr>
        <w:spacing w:after="100" w:before="80" w:line="360"/>
        <w:ind w:firstLine="720"/>
        <w:jc w:val="both"/>
      </w:pPr>
      <w:r>
        <w:rPr>
          <w:rFonts w:ascii="Arial" w:cs="Arial" w:eastAsia="Arial" w:hAnsi="Arial"/>
          <w:color w:val="0F172A"/>
          <w:sz w:val="24"/>
          <w:szCs w:val="24"/>
        </w:rPr>
        <w:t xml:space="preserve">O cálculo dos índices de reajuste destas apólices corporativas não consubstancia uma mera operação aritmética de adição ou subtração, mas sim a aplicação de fórmulas estatísticas e atuariais altamente sofisticadas, que ponderam, simultaneamente e em larga escala, o Índice de Variação de Custos Médico-Hospitalares (VCMH) e o Índice de Reajuste por Sinistralidade (IRS) atrelados a uma massa imensa de beneficiários e microempresas.</w:t>
      </w:r>
    </w:p>
    <w:p>
      <w:pPr>
        <w:spacing w:after="100"/>
      </w:pPr>
    </w:p>
    <w:p>
      <w:pPr>
        <w:spacing w:after="100" w:before="80" w:line="360"/>
        <w:ind w:firstLine="720"/>
        <w:jc w:val="both"/>
      </w:pPr>
      <w:r>
        <w:rPr>
          <w:rFonts w:ascii="Arial" w:cs="Arial" w:eastAsia="Arial" w:hAnsi="Arial"/>
          <w:color w:val="0F172A"/>
          <w:sz w:val="24"/>
          <w:szCs w:val="24"/>
        </w:rPr>
        <w:t xml:space="preserve">O Código de Processo Civil, primando pela racionalidade e eficiência jurisdicional, consagra expressamente em seu artigo 372 que o juiz poderá admitir a utilização de prova produzida em outro processo, atribuindo-lhe o valor que considerar adequado, observado o contraditório. O Superior Tribunal de Justiça trilha idêntico entendimento, assentando a plena admissibilidade da prova emprestada mesmo na hipótese em que as partes não tenham figurado no feito de origem.</w:t>
      </w:r>
    </w:p>
    <w:p>
      <w:pPr>
        <w:spacing w:after="100"/>
      </w:pPr>
    </w:p>
    <w:p>
      <w:pPr>
        <w:spacing w:after="100" w:before="80" w:line="360"/>
        <w:ind w:firstLine="720"/>
        <w:jc w:val="both"/>
      </w:pPr>
      <w:r>
        <w:rPr>
          <w:rFonts w:ascii="Arial" w:cs="Arial" w:eastAsia="Arial" w:hAnsi="Arial"/>
          <w:color w:val="0F172A"/>
          <w:sz w:val="24"/>
          <w:szCs w:val="24"/>
        </w:rPr>
        <w:t xml:space="preserve">Destaca-se, como esteio probatório irrefutável para a presente lide, o laudo oficial exarado no âmbito do processo paradigmático nº 1031894-75.2017.8.26.0100, perante o Tribunal de Justiça de São Paulo, no qual o expert do juízo realizou minuciosa diligência in loco na sede da operadora, teve acesso irrestrito a toda a base histórica de sinistros, confrontou os dados amostrais e atestou categoricamente a integridade contábil das informações e a absoluta correção matemática dos Percentuais de Reajuste Único (PRU), chancelados pelas auditorias independentes (KPMG e Deloitte).</w:t>
      </w:r>
    </w:p>
    <w:p>
      <w:pPr>
        <w:spacing w:after="100"/>
      </w:pPr>
    </w:p>
    <w:p>
      <w:pPr>
        <w:spacing w:after="100" w:before="80" w:line="360"/>
        <w:ind w:firstLine="720"/>
        <w:jc w:val="both"/>
      </w:pPr>
      <w:r>
        <w:rPr>
          <w:rFonts w:ascii="Arial" w:cs="Arial" w:eastAsia="Arial" w:hAnsi="Arial"/>
          <w:color w:val="0F172A"/>
          <w:sz w:val="24"/>
          <w:szCs w:val="24"/>
        </w:rPr>
        <w:t xml:space="preserve">Ante o exposto, pugna a requerida pela admissão, pelo recebimento e pela juntada do irretocável Laudo Pericial Contábil-Atuarial homologado nos autos da ação paradigmática nº 1031894-75.2017.8.26.0100 (bem como da respectiva sentença e acórdão), para que seja integralmente aproveitado por este douto juízo como prova emprestada (art. 372 do CPC), servindo como fundamento técnico impeditivo do direito alegado e culminando na total improcedência dos pleitos revisionais formulados pela parte autora.</w:t>
      </w:r>
    </w:p>
    <w:p>
      <w:pPr>
        <w:spacing w:after="100"/>
      </w:pPr>
    </w:p>
    <w:p>
      <w:pPr>
        <w:spacing w:after="100" w:before="80" w:line="360"/>
        <w:ind w:firstLine="720"/>
        <w:jc w:val="both"/>
      </w:pPr>
      <w:r>
        <w:rPr>
          <w:rFonts w:ascii="Arial" w:cs="Arial" w:eastAsia="Arial" w:hAnsi="Arial"/>
          <w:color w:val="0F172A"/>
          <w:sz w:val="24"/>
          <w:szCs w:val="24"/>
        </w:rPr>
        <w:t xml:space="preserve">Subsidiariamente, caso se entenda pela indispensabilidade de renovação da instrução probatória originária neste feito, requer-se a produção de prova pericial técnico-atuarial formal a ser conduzida por perito oficial cadastrado e registrado junto ao IBA (Instituto Brasileiro de Atuários), inclusive mediante diligência in loco na sede da operadora, obstando-se categoricamente o julgamento antecipado ou intuitivo do mérito para afastar a ocorrência de cerceamento de defesa.</w:t>
      </w:r>
    </w:p>
    <w:p>
      <w:pPr>
        <w:spacing w:after="120" w:before="240"/>
      </w:pPr>
    </w:p>
    <w:p>
      <w:pPr>
        <w:spacing w:after="180" w:before="280"/>
        <w:jc w:val="center"/>
      </w:pPr>
      <w:r>
        <w:rPr>
          <w:rFonts w:ascii="Arial" w:cs="Arial" w:eastAsia="Arial" w:hAnsi="Arial"/>
          <w:b/>
          <w:bCs/>
          <w:color w:val="0F172A"/>
          <w:sz w:val="24"/>
          <w:szCs w:val="24"/>
        </w:rPr>
        <w:t xml:space="preserve">DA IMPOSSIBILIDADE DE REPETIÇÃO DO INDÉBITO EM DOBRO: DA AUSÊNCIA DE CONDUTA CONTRÁRIA À BOA-FÉ OBJETIVA E DA INAPLICABILIDADE DO ARTIGO 42, PARÁGRAFO ÚNICO, DO CDC</w:t>
      </w:r>
    </w:p>
    <w:p>
      <w:pPr>
        <w:spacing w:after="100"/>
      </w:pPr>
    </w:p>
    <w:p>
      <w:pPr>
        <w:spacing w:after="100" w:before="80" w:line="360"/>
        <w:ind w:firstLine="720"/>
        <w:jc w:val="both"/>
      </w:pPr>
      <w:r>
        <w:rPr>
          <w:rFonts w:ascii="Arial" w:cs="Arial" w:eastAsia="Arial" w:hAnsi="Arial"/>
          <w:color w:val="0F172A"/>
          <w:sz w:val="24"/>
          <w:szCs w:val="24"/>
        </w:rPr>
        <w:t xml:space="preserve">Ainda que se cogite, por puro princípio de eventualidade, qualquer readequação judicial da natureza jurídica do plano, das cláusulas contratuais ou dos índices de reajuste aplicados — hipóteses expressamente rechaçadas —, tal conclusão jamais conduziria, automaticamente, à incidência da sanção prevista no artigo 42, parágrafo único, do Código de Defesa do Consumidor.</w:t>
      </w:r>
    </w:p>
    <w:p>
      <w:pPr>
        <w:spacing w:after="100"/>
      </w:pPr>
    </w:p>
    <w:p>
      <w:pPr>
        <w:spacing w:after="100" w:before="80" w:line="360"/>
        <w:ind w:firstLine="720"/>
        <w:jc w:val="both"/>
      </w:pPr>
      <w:r>
        <w:rPr>
          <w:rFonts w:ascii="Arial" w:cs="Arial" w:eastAsia="Arial" w:hAnsi="Arial"/>
          <w:color w:val="0F172A"/>
          <w:sz w:val="24"/>
          <w:szCs w:val="24"/>
        </w:rPr>
        <w:t xml:space="preserve">A repetição em dobro possui pressupostos próprios e mais rigorosos, não se confundindo com a simples constatação posterior de que determinado valor poderia ter sido calculado segundo critério diverso daquele empregado durante a execução do contrato.</w:t>
      </w:r>
    </w:p>
    <w:p>
      <w:pPr>
        <w:spacing w:after="100"/>
      </w:pPr>
    </w:p>
    <w:p>
      <w:pPr>
        <w:spacing w:after="100" w:before="80" w:line="360"/>
        <w:ind w:firstLine="720"/>
        <w:jc w:val="both"/>
      </w:pPr>
      <w:r>
        <w:rPr>
          <w:rFonts w:ascii="Arial" w:cs="Arial" w:eastAsia="Arial" w:hAnsi="Arial"/>
          <w:color w:val="0F172A"/>
          <w:sz w:val="24"/>
          <w:szCs w:val="24"/>
        </w:rPr>
        <w:t xml:space="preserve">As mensalidades foram faturadas e exigidas com fundamento nas cláusulas de negócio jurídico vigente e segundo a disciplina regulatória aplicável ao produto contratado, tendo a operadora ré atuado no exercício regular das posições jurídicas decorrentes da avença e do regime normativo da saúde suplementar. A cobrança fundada em cláusula contratual expressa, aplicada ostensivamente durante a execução do negócio e inserida em ambiente submetido à regulação estatal não traduz, por si só, comportamento desleal, ardiloso ou incompatível com os deveres de confiança, cooperação e lealdade.</w:t>
      </w:r>
    </w:p>
    <w:p>
      <w:pPr>
        <w:spacing w:after="100"/>
      </w:pPr>
    </w:p>
    <w:p>
      <w:pPr>
        <w:spacing w:after="100" w:before="80" w:line="360"/>
        <w:ind w:firstLine="720"/>
        <w:jc w:val="both"/>
      </w:pPr>
      <w:r>
        <w:rPr>
          <w:rFonts w:ascii="Arial" w:cs="Arial" w:eastAsia="Arial" w:hAnsi="Arial"/>
          <w:color w:val="0F172A"/>
          <w:sz w:val="24"/>
          <w:szCs w:val="24"/>
        </w:rPr>
        <w:t xml:space="preserve">A jurisprudência da Corte Especial do Superior Tribunal de Justiça consolidou o entendimento de que a restituição em dobro prevista no dispositivo consumerista não depende da demonstração de má-fé subjetiva do fornecedor, mas pressupõe cobrança indevida reveladora de conduta contrária à boa-fé objetiva. Afastada a antiga exigência de prova de dolo ou má-fé subjetiva, não se instituiu responsabilidade sancionatória automática pela simples existência de cobrança posteriormente reputada indevida.</w:t>
      </w:r>
    </w:p>
    <w:p>
      <w:pPr>
        <w:spacing w:after="100"/>
      </w:pPr>
    </w:p>
    <w:p>
      <w:pPr>
        <w:spacing w:after="100" w:before="80" w:line="360"/>
        <w:ind w:firstLine="720"/>
        <w:jc w:val="both"/>
      </w:pPr>
      <w:r>
        <w:rPr>
          <w:rFonts w:ascii="Arial" w:cs="Arial" w:eastAsia="Arial" w:hAnsi="Arial"/>
          <w:color w:val="0F172A"/>
          <w:sz w:val="24"/>
          <w:szCs w:val="24"/>
        </w:rPr>
        <w:t xml:space="preserve">Permanece indispensável verificar se a conduta objetivamente adotada pelo fornecedor contrariou os padrões de lealdade, transparência, confiança e correção legitimamente exigíveis na relação de consumo. Divergência jurídica, contratual, regulatória ou técnico-atuarial não se confunde com violação à boa-fé objetiva.</w:t>
      </w:r>
    </w:p>
    <w:p>
      <w:pPr>
        <w:spacing w:after="100"/>
      </w:pPr>
    </w:p>
    <w:p>
      <w:pPr>
        <w:spacing w:after="100" w:before="80" w:line="360"/>
        <w:ind w:firstLine="720"/>
        <w:jc w:val="both"/>
      </w:pPr>
      <w:r>
        <w:rPr>
          <w:rFonts w:ascii="Arial" w:cs="Arial" w:eastAsia="Arial" w:hAnsi="Arial"/>
          <w:color w:val="0F172A"/>
          <w:sz w:val="24"/>
          <w:szCs w:val="24"/>
        </w:rPr>
        <w:t xml:space="preserve">A própria ressalva expressamente prevista no artigo 42, parágrafo único, do CDC confirma essa conclusão ao excepcionar a repetição dobrada diante de engano justificável. Se o próprio legislador exclui a consequência sancionatória quando a cobrança indevida decorre de circunstância objetivamente justificável, não se pode converter toda revisão judicial superveniente em causa suficiente para duplicação do valor controvertido.</w:t>
      </w:r>
    </w:p>
    <w:p>
      <w:pPr>
        <w:spacing w:after="100"/>
      </w:pPr>
    </w:p>
    <w:p>
      <w:pPr>
        <w:spacing w:after="100" w:before="80" w:line="360"/>
        <w:ind w:firstLine="720"/>
        <w:jc w:val="both"/>
      </w:pPr>
      <w:r>
        <w:rPr>
          <w:rFonts w:ascii="Arial" w:cs="Arial" w:eastAsia="Arial" w:hAnsi="Arial"/>
          <w:color w:val="0F172A"/>
          <w:sz w:val="24"/>
          <w:szCs w:val="24"/>
        </w:rPr>
        <w:t xml:space="preserve">São essas razões que impõem a improcedência do pedido de repetição do indébito em dobro, reconhecendo-se que eventual revisão judicial das cobranças não caracteriza, por si só, conduta contrária à boa-fé objetiva e não autoriza a incidência automática do artigo 42, parágrafo único, do Código de Defesa do Consumidor, cuja aplicação pressupõe a efetiva demonstração dos requisitos específicos que justificam a excepcional duplicação do valor reputado indevido.</w:t>
      </w:r>
    </w:p>
    <w:p>
      <w:pPr>
        <w:spacing w:after="120" w:before="240"/>
      </w:pPr>
    </w:p>
    <w:p>
      <w:pPr>
        <w:spacing w:after="180" w:before="280"/>
        <w:jc w:val="center"/>
      </w:pPr>
      <w:r>
        <w:rPr>
          <w:rFonts w:ascii="Arial" w:cs="Arial" w:eastAsia="Arial" w:hAnsi="Arial"/>
          <w:b/>
          <w:bCs/>
          <w:color w:val="0F172A"/>
          <w:sz w:val="24"/>
          <w:szCs w:val="24"/>
        </w:rPr>
        <w:t xml:space="preserve">DA AUSÊNCIA DE DANO MORAL</w:t>
      </w:r>
    </w:p>
    <w:p>
      <w:pPr>
        <w:spacing w:after="100"/>
      </w:pPr>
    </w:p>
    <w:p>
      <w:pPr>
        <w:spacing w:after="100" w:before="80" w:line="360"/>
        <w:ind w:firstLine="720"/>
        <w:jc w:val="both"/>
      </w:pPr>
      <w:r>
        <w:rPr>
          <w:rFonts w:ascii="Arial" w:cs="Arial" w:eastAsia="Arial" w:hAnsi="Arial"/>
          <w:color w:val="0F172A"/>
          <w:sz w:val="24"/>
          <w:szCs w:val="24"/>
        </w:rPr>
        <w:t xml:space="preserve">Não há que se falar em dano moral por "desvio produtivo". A aplicação dos índices de reajuste e o correto faturamento das mensalidades do plano de saúde decorrem do exercício regular de direito (art. 188, I, do Código Civil), sendo a cobrança pautada em cláusula válida e na efetiva disponibilidade da rede assistencial como contraprestação.</w:t>
      </w:r>
    </w:p>
    <w:p>
      <w:pPr>
        <w:spacing w:after="100"/>
      </w:pPr>
    </w:p>
    <w:p>
      <w:pPr>
        <w:spacing w:after="100" w:before="80" w:line="360"/>
        <w:ind w:firstLine="720"/>
        <w:jc w:val="both"/>
      </w:pPr>
      <w:r>
        <w:rPr>
          <w:rFonts w:ascii="Arial" w:cs="Arial" w:eastAsia="Arial" w:hAnsi="Arial"/>
          <w:color w:val="0F172A"/>
          <w:sz w:val="24"/>
          <w:szCs w:val="24"/>
        </w:rPr>
        <w:t xml:space="preserve">O tempo despendido pela parte autora para questionar débitos legítimos não caracteriza lesão à personalidade. A teoria do desvio produtivo exige prova de perda do tempo útil em razão de falha inequívoca do serviço, o que não ocorre quando a cobrança é pautada em cláusula válida.</w:t>
      </w:r>
    </w:p>
    <w:p>
      <w:pPr>
        <w:spacing w:after="100"/>
      </w:pPr>
    </w:p>
    <w:p>
      <w:pPr>
        <w:spacing w:after="100" w:before="80" w:line="360"/>
        <w:ind w:firstLine="720"/>
        <w:jc w:val="both"/>
      </w:pPr>
      <w:r>
        <w:rPr>
          <w:rFonts w:ascii="Arial" w:cs="Arial" w:eastAsia="Arial" w:hAnsi="Arial"/>
          <w:color w:val="0F172A"/>
          <w:sz w:val="24"/>
          <w:szCs w:val="24"/>
        </w:rPr>
        <w:t xml:space="preserve">Os precedentes que deferem indenização presumida — in re ipsa — alicerçam-se na premissa inafastável de que a cobrança ou anotação restritiva deve ser inequivocamente indevida, originada de fraude, falha na prestação de serviços ou exigência de obrigações declaradas nulas. O cenário vertente, contudo, encerra dinâmica diametralmente oposta: o débito cobrado é materialmente lícito, hígido e originado de explícita cláusula contratual e da observância dos preceitos regulatórios.</w:t>
      </w:r>
    </w:p>
    <w:p>
      <w:pPr>
        <w:spacing w:after="100"/>
      </w:pPr>
    </w:p>
    <w:p>
      <w:pPr>
        <w:spacing w:after="100" w:before="80" w:line="360"/>
        <w:ind w:firstLine="720"/>
        <w:jc w:val="both"/>
      </w:pPr>
      <w:r>
        <w:rPr>
          <w:rFonts w:ascii="Arial" w:cs="Arial" w:eastAsia="Arial" w:hAnsi="Arial"/>
          <w:color w:val="0F172A"/>
          <w:sz w:val="24"/>
          <w:szCs w:val="24"/>
        </w:rPr>
        <w:t xml:space="preserve">Transpondo tais vetores dogmáticos à aderência fática do caso concreto, evidencia-se de forma hialina que esta contestante agiu em conformidade estrita com o contrato pactuado, tratando-se a conduta de exercício regular de direito (art. 188, I, CC). Ausente qualquer falha na prestação do serviço ou antijuridicidade na conduta da operadora, o alegado desconforto administrativo sofrido pela parte demandante constitui mero revés, restando perfeitamente subsumido ao risco inerente à vida de relação.</w:t>
      </w:r>
    </w:p>
    <w:p>
      <w:pPr>
        <w:spacing w:after="100"/>
      </w:pPr>
    </w:p>
    <w:p>
      <w:pPr>
        <w:spacing w:after="100" w:before="80" w:line="360"/>
        <w:ind w:firstLine="720"/>
        <w:jc w:val="both"/>
      </w:pPr>
      <w:r>
        <w:rPr>
          <w:rFonts w:ascii="Arial" w:cs="Arial" w:eastAsia="Arial" w:hAnsi="Arial"/>
          <w:color w:val="0F172A"/>
          <w:sz w:val="24"/>
          <w:szCs w:val="24"/>
        </w:rPr>
        <w:t xml:space="preserve">Requer-se que seja julgado totalmente improcedente o pedido de compensação por danos morais, declarando-se que a controvérsia versa sobre estrita interpretação de cláusulas contratuais e inquestionável exercício regular de direito da credora, configurando mero aborrecimento sem qualquer ofensa a quaisquer direitos da personalidade.</w:t>
      </w:r>
    </w:p>
    <w:p>
      <w:pPr>
        <w:spacing w:after="120" w:before="240"/>
      </w:pPr>
    </w:p>
    <w:p>
      <w:pPr>
        <w:spacing w:after="180" w:before="280"/>
        <w:jc w:val="center"/>
      </w:pPr>
      <w:r>
        <w:rPr>
          <w:rFonts w:ascii="Arial" w:cs="Arial" w:eastAsia="Arial" w:hAnsi="Arial"/>
          <w:b/>
          <w:bCs/>
          <w:color w:val="0F172A"/>
          <w:sz w:val="24"/>
          <w:szCs w:val="24"/>
        </w:rPr>
        <w:t xml:space="preserve">DA INCIDÊNCIA EXCLUSIVA DA TAXA SELIC EM EVENTUAL CONDENAÇÃO, SOB A ÓTICA DO TEMA 1.368 DO STJ</w:t>
      </w:r>
    </w:p>
    <w:p>
      <w:pPr>
        <w:spacing w:after="100"/>
      </w:pPr>
    </w:p>
    <w:p>
      <w:pPr>
        <w:spacing w:after="100" w:before="80" w:line="360"/>
        <w:ind w:firstLine="720"/>
        <w:jc w:val="both"/>
      </w:pPr>
      <w:r>
        <w:rPr>
          <w:rFonts w:ascii="Arial" w:cs="Arial" w:eastAsia="Arial" w:hAnsi="Arial"/>
          <w:color w:val="0F172A"/>
          <w:sz w:val="24"/>
          <w:szCs w:val="24"/>
        </w:rPr>
        <w:t xml:space="preserve">Na eventual hipótese de procedência de qualquer dos pleitos condenatórios formulados pela demandante, o que se admite estritamente em atenção ao princípio da eventualidade, faz-se imperiosa a correta fixação dos consectários legais incidentes sobre o montante da condenação, a fim de coibir o enriquecimento sem causa.</w:t>
      </w:r>
    </w:p>
    <w:p>
      <w:pPr>
        <w:spacing w:after="100"/>
      </w:pPr>
    </w:p>
    <w:p>
      <w:pPr>
        <w:spacing w:after="100" w:before="80" w:line="360"/>
        <w:ind w:firstLine="720"/>
        <w:jc w:val="both"/>
      </w:pPr>
      <w:r>
        <w:rPr>
          <w:rFonts w:ascii="Arial" w:cs="Arial" w:eastAsia="Arial" w:hAnsi="Arial"/>
          <w:color w:val="0F172A"/>
          <w:sz w:val="24"/>
          <w:szCs w:val="24"/>
        </w:rPr>
        <w:t xml:space="preserve">O Superior Tribunal de Justiça (STJ), ao apreciar o Tema 1.368 sob o rito qualificado dos recursos repetitivos, consolidou o entendimento vinculante de que o artigo 406 do Código Civil de 2002, antes da entrada em vigor da Lei nº 14.905/2024, deve ser interpretado de maneira restritiva, reconhecendo a Taxa Selic como o índice único e exclusivo aplicável às dívidas de natureza civil. A Corte Nacional firmou a diretriz inafastável de que a Selic engloba, simultaneamente, os juros de mora e a atualização monetária, sendo expressamente vedada a sua cumulação com quaisquer outros índices inflacionários ou encargos moratórios no período anterior ao novel diploma legal.</w:t>
      </w:r>
    </w:p>
    <w:p>
      <w:pPr>
        <w:spacing w:after="100"/>
      </w:pPr>
    </w:p>
    <w:p>
      <w:pPr>
        <w:spacing w:after="100" w:before="80" w:line="360"/>
        <w:ind w:firstLine="720"/>
        <w:jc w:val="both"/>
      </w:pPr>
      <w:r>
        <w:rPr>
          <w:rFonts w:ascii="Arial" w:cs="Arial" w:eastAsia="Arial" w:hAnsi="Arial"/>
          <w:color w:val="0F172A"/>
          <w:sz w:val="24"/>
          <w:szCs w:val="24"/>
        </w:rPr>
        <w:t xml:space="preserve">Nos exatos termos do artigo 927, inciso III, do Código de Processo Civil, a jurisprudência firmada sob tal sistemática possui caráter vinculante e aplicação obrigatória. Ademais, no que tange ao período posterior à vigência da Lei nº 14.905/2024, a legislação superveniente e a adequação pretoriana preconizam que a atualização das dívidas civis passe a observar os critérios da nova redação do artigo 406 e do artigo 389, parágrafo único, do Código Civil (IPCA acrescido da taxa legal).</w:t>
      </w:r>
    </w:p>
    <w:p>
      <w:pPr>
        <w:spacing w:after="100"/>
      </w:pPr>
    </w:p>
    <w:p>
      <w:pPr>
        <w:spacing w:after="100" w:before="80" w:line="360"/>
        <w:ind w:firstLine="720"/>
        <w:jc w:val="both"/>
      </w:pPr>
      <w:r>
        <w:rPr>
          <w:rFonts w:ascii="Arial" w:cs="Arial" w:eastAsia="Arial" w:hAnsi="Arial"/>
          <w:color w:val="0F172A"/>
          <w:sz w:val="24"/>
          <w:szCs w:val="24"/>
        </w:rPr>
        <w:t xml:space="preserve">Desta feita, invocando o imperativo da segurança jurídica e o acatamento aos precedentes vinculantes, pugna-se para que, na eventualidade de condenação pecuniária de qualquer natureza (como repetição de indébito), seja determinada por este douto juízo a incidência exclusiva da Taxa Selic, a título de correção monetária e juros de mora, para o período anterior à vigência da Lei nº 14.905/2024, e, posteriormente, a aplicação do IPCA somada aos juros legais calculados nos moldes da novel legislação civil.</w:t>
      </w:r>
    </w:p>
    <w:p>
      <w:pPr>
        <w:spacing w:after="120" w:before="240"/>
      </w:pPr>
    </w:p>
    <w:p>
      <w:pPr>
        <w:spacing w:after="180" w:before="280"/>
        <w:jc w:val="center"/>
      </w:pPr>
      <w:r>
        <w:rPr>
          <w:rFonts w:ascii="Arial" w:cs="Arial" w:eastAsia="Arial" w:hAnsi="Arial"/>
          <w:b/>
          <w:bCs/>
          <w:color w:val="0F172A"/>
          <w:sz w:val="24"/>
          <w:szCs w:val="24"/>
        </w:rPr>
        <w:t xml:space="preserve">DO PREQUESTIONAMENTO QUALIFICADO</w:t>
      </w:r>
    </w:p>
    <w:p>
      <w:pPr>
        <w:spacing w:after="100"/>
      </w:pPr>
    </w:p>
    <w:p>
      <w:pPr>
        <w:spacing w:after="100" w:before="80" w:line="360"/>
        <w:ind w:firstLine="720"/>
        <w:jc w:val="both"/>
      </w:pPr>
      <w:r>
        <w:rPr>
          <w:rFonts w:ascii="Arial" w:cs="Arial" w:eastAsia="Arial" w:hAnsi="Arial"/>
          <w:color w:val="0F172A"/>
          <w:sz w:val="24"/>
          <w:szCs w:val="24"/>
        </w:rPr>
        <w:t xml:space="preserve">Caso sejam acolhidos os pleitos deduzidos na exordial, o que se cogita exclusivamente em estrita obediência ao princípio da eventualidade, a operadora ré pugna, desde logo, pelo prequestionamento explícito e qualificado da integralidade da matéria constitucional, infraconstitucional e regulatória ventilada nesta peça defensiva, com o escopo de pavimentar o acesso às instâncias extraordinária e especial.</w:t>
      </w:r>
    </w:p>
    <w:p>
      <w:pPr>
        <w:spacing w:after="100"/>
      </w:pPr>
    </w:p>
    <w:p>
      <w:pPr>
        <w:spacing w:after="100" w:before="80" w:line="360"/>
        <w:ind w:firstLine="720"/>
        <w:jc w:val="both"/>
      </w:pPr>
      <w:r>
        <w:rPr>
          <w:rFonts w:ascii="Arial" w:cs="Arial" w:eastAsia="Arial" w:hAnsi="Arial"/>
          <w:color w:val="0F172A"/>
          <w:sz w:val="24"/>
          <w:szCs w:val="24"/>
        </w:rPr>
        <w:t xml:space="preserve">A prolação de eventual provimento desfavorável à seguradora ré demandará manifestação jurisdicional expressa sobre os dispositivos normativos basilares que chancelam a higidez da engenharia atuarial do plano coletivo empresarial (PME) firmado entre as partes.</w:t>
      </w:r>
    </w:p>
    <w:p>
      <w:pPr>
        <w:spacing w:after="100"/>
      </w:pPr>
    </w:p>
    <w:p>
      <w:pPr>
        <w:spacing w:after="100" w:before="80" w:line="360"/>
        <w:ind w:firstLine="720"/>
        <w:jc w:val="both"/>
      </w:pPr>
      <w:r>
        <w:rPr>
          <w:rFonts w:ascii="Arial" w:cs="Arial" w:eastAsia="Arial" w:hAnsi="Arial"/>
          <w:color w:val="0F172A"/>
          <w:sz w:val="24"/>
          <w:szCs w:val="24"/>
        </w:rPr>
        <w:t xml:space="preserve">No plano constitucional, a pretensão da parte autora de transmutação do contrato coletivo para individual e a anulação dos reajustes afrontam os imperativos da livre iniciativa, do ato jurídico perfeito e da legalidade, atraindo a necessidade de manifestação expressa deste douto juízo sobre os artigos 1º, inciso IV, 5º, incisos II e XXXVI, bem como o artigo 170, caput e inciso IV, todos da Constituição da República. Ademais, a eventual negativa de produção de prova pericial atuarial, essencial para atestar a correção matemática dos índices questionados, consubstanciará flagrante cerceamento de defesa e violação ao devido processo legal substantivo, vulnerando o artigo 5º, incisos LIV e LV, da Carta Magna.</w:t>
      </w:r>
    </w:p>
    <w:p>
      <w:pPr>
        <w:spacing w:after="100"/>
      </w:pPr>
    </w:p>
    <w:p>
      <w:pPr>
        <w:spacing w:after="100" w:before="80" w:line="360"/>
        <w:ind w:firstLine="720"/>
        <w:jc w:val="both"/>
      </w:pPr>
      <w:r>
        <w:rPr>
          <w:rFonts w:ascii="Arial" w:cs="Arial" w:eastAsia="Arial" w:hAnsi="Arial"/>
          <w:color w:val="0F172A"/>
          <w:sz w:val="24"/>
          <w:szCs w:val="24"/>
        </w:rPr>
        <w:t xml:space="preserve">Por fim, a imposição transversa de limites de reajuste restritos a planos individuais em apólice corporativa configura invasão indevida da competência regulatória da Agência Nacional de Saúde Suplementar (ANS), vilipendiando o princípio da Separação de Poderes, insculpido no artigo 2º da Constituição Federal.</w:t>
      </w:r>
    </w:p>
    <w:p>
      <w:pPr>
        <w:spacing w:after="100"/>
      </w:pPr>
    </w:p>
    <w:p>
      <w:pPr>
        <w:spacing w:after="100" w:before="80" w:line="360"/>
        <w:ind w:firstLine="720"/>
        <w:jc w:val="both"/>
      </w:pPr>
      <w:r>
        <w:rPr>
          <w:rFonts w:ascii="Arial" w:cs="Arial" w:eastAsia="Arial" w:hAnsi="Arial"/>
          <w:color w:val="0F172A"/>
          <w:sz w:val="24"/>
          <w:szCs w:val="24"/>
        </w:rPr>
        <w:t xml:space="preserve">Sob o prisma infraconstitucional, exige-se o prequestionamento explícito dos ditames encartados nos artigos 421, 421-A e 422 do Código Civil, que consagram a liberdade contratual, a alocação de riscos definida pelas partes e a boa-fé objetiva, repelindo de forma veemente o inaceitável comportamento contraditório (venire contra factum proprium) daquele que anui à modalidade corporativa e depois a rechaça.</w:t>
      </w:r>
    </w:p>
    <w:p>
      <w:pPr>
        <w:spacing w:after="100"/>
      </w:pPr>
    </w:p>
    <w:p>
      <w:pPr>
        <w:spacing w:after="100" w:before="80" w:line="360"/>
        <w:ind w:firstLine="720"/>
        <w:jc w:val="both"/>
      </w:pPr>
      <w:r>
        <w:rPr>
          <w:rFonts w:ascii="Arial" w:cs="Arial" w:eastAsia="Arial" w:hAnsi="Arial"/>
          <w:color w:val="0F172A"/>
          <w:sz w:val="24"/>
          <w:szCs w:val="24"/>
        </w:rPr>
        <w:t xml:space="preserve">A atualização de eventual condenação pecuniária também deverá enfrentar a aplicação conjugada dos artigos 389 e 406 do Código Civil, com a redação conferida pela Lei nº 14.905/2024. No âmbito processual, impõe-se o prequestionamento do artigo 373, inciso I, do Código de Processo Civil, bem como dos artigos 156 e 375 do mesmo diploma codificado, quanto à reserva de perícia técnica. Requer-se ainda a análise sob a ótica dos artigos 37 e 38 da RN nº 565/2022 e da RN nº 563/2022 da ANS.</w:t>
      </w:r>
    </w:p>
    <w:p>
      <w:pPr>
        <w:spacing w:after="100"/>
      </w:pPr>
    </w:p>
    <w:p>
      <w:pPr>
        <w:spacing w:after="100" w:before="80" w:line="360"/>
        <w:ind w:firstLine="720"/>
        <w:jc w:val="both"/>
      </w:pPr>
      <w:r>
        <w:rPr>
          <w:rFonts w:ascii="Arial" w:cs="Arial" w:eastAsia="Arial" w:hAnsi="Arial"/>
          <w:color w:val="0F172A"/>
          <w:sz w:val="24"/>
          <w:szCs w:val="24"/>
        </w:rPr>
        <w:t xml:space="preserve">Por todo o exposto, pugna a seguradora ré para que este respeitável juízo, no momento da prolação do provimento final de mérito, manifeste-se expressa, individualizada e fundamentadamente sobre a integralidade dos normativos aqui declinados, a fim de perfectibilizar o inafastável prequestionamento da matéria.</w:t>
      </w:r>
    </w:p>
    <w:p>
      <w:pPr>
        <w:spacing w:after="120" w:before="240"/>
      </w:pPr>
    </w:p>
    <w:p>
      <w:pPr>
        <w:spacing w:after="180" w:before="280"/>
        <w:jc w:val="center"/>
      </w:pPr>
      <w:r>
        <w:rPr>
          <w:rFonts w:ascii="Arial" w:cs="Arial" w:eastAsia="Arial" w:hAnsi="Arial"/>
          <w:b/>
          <w:bCs/>
          <w:color w:val="0F172A"/>
          <w:sz w:val="24"/>
          <w:szCs w:val="24"/>
        </w:rPr>
        <w:t xml:space="preserve">DOS REQUERIMENTOS FINAIS</w:t>
      </w:r>
    </w:p>
    <w:p>
      <w:pPr>
        <w:spacing w:after="100"/>
      </w:pPr>
    </w:p>
    <w:p>
      <w:pPr>
        <w:spacing w:after="100" w:before="80" w:line="360"/>
        <w:ind w:firstLine="720"/>
        <w:jc w:val="both"/>
      </w:pPr>
      <w:r>
        <w:rPr>
          <w:rFonts w:ascii="Arial" w:cs="Arial" w:eastAsia="Arial" w:hAnsi="Arial"/>
          <w:color w:val="0F172A"/>
          <w:sz w:val="24"/>
          <w:szCs w:val="24"/>
        </w:rPr>
        <w:t xml:space="preserve">Diante de todo o exposto fático e jurídico, restando irrefutavelmente demonstrada a higidez da apólice de modalidade coletiva empresarial (PME) e a estrita regularidade normativa e atuarial dos reajustes aplicados, a Sul América Companhia de Seguro Saúde requer a Vossa Excelência:</w:t>
      </w:r>
    </w:p>
    <w:p>
      <w:pPr>
        <w:spacing w:after="100"/>
      </w:pPr>
    </w:p>
    <w:p>
      <w:pPr>
        <w:spacing w:after="100" w:before="100" w:line="360"/>
        <w:ind w:left="720"/>
        <w:jc w:val="both"/>
      </w:pPr>
      <w:r>
        <w:rPr>
          <w:rFonts w:ascii="Arial" w:cs="Arial" w:eastAsia="Arial" w:hAnsi="Arial"/>
          <w:color w:val="0F172A"/>
          <w:sz w:val="24"/>
          <w:szCs w:val="24"/>
        </w:rPr>
        <w:t xml:space="preserve">a) o acolhimento da preliminar de ilegitimidade ativa ad causam da pessoa física autora (beneficiário isolado), decretando-se a extinção do processo sem resolução do mérito, fulcro no artigo 485, inciso VI, do Código de Processo Civil, por versar a lide sobre cláusulas financeiras e repetição de indébito de faturamento corporativo emitido em face da estipulante;</w:t>
      </w:r>
    </w:p>
    <w:p>
      <w:pPr>
        <w:spacing w:after="100"/>
      </w:pPr>
    </w:p>
    <w:p>
      <w:pPr>
        <w:spacing w:after="100" w:before="100" w:line="360"/>
        <w:ind w:left="720"/>
        <w:jc w:val="both"/>
      </w:pPr>
      <w:r>
        <w:rPr>
          <w:rFonts w:ascii="Arial" w:cs="Arial" w:eastAsia="Arial" w:hAnsi="Arial"/>
          <w:color w:val="0F172A"/>
          <w:sz w:val="24"/>
          <w:szCs w:val="24"/>
        </w:rPr>
        <w:t xml:space="preserve">b) o acolhimento da impugnação ao benefício da gratuidade de justiça, determinando-se o recolhimento das custas iniciais;</w:t>
      </w:r>
    </w:p>
    <w:p>
      <w:pPr>
        <w:spacing w:after="100"/>
      </w:pPr>
    </w:p>
    <w:p>
      <w:pPr>
        <w:spacing w:after="100" w:before="100" w:line="360"/>
        <w:ind w:left="720"/>
        <w:jc w:val="both"/>
      </w:pPr>
      <w:r>
        <w:rPr>
          <w:rFonts w:ascii="Arial" w:cs="Arial" w:eastAsia="Arial" w:hAnsi="Arial"/>
          <w:color w:val="0F172A"/>
          <w:sz w:val="24"/>
          <w:szCs w:val="24"/>
        </w:rPr>
        <w:t xml:space="preserve">c) o acolhimento da impugnação ao valor da causa, determinando-se a retificação de ofício para abarcar a soma do suposto indébito trienal retroativo e doze parcelas vincendas das diferenças controvertidas, intimando-se a parte para a complementação das custas, sob pena de cancelamento da distribuição;</w:t>
      </w:r>
    </w:p>
    <w:p>
      <w:pPr>
        <w:spacing w:after="100"/>
      </w:pPr>
    </w:p>
    <w:p>
      <w:pPr>
        <w:spacing w:after="100" w:before="100" w:line="360"/>
        <w:ind w:left="720"/>
        <w:jc w:val="both"/>
      </w:pPr>
      <w:r>
        <w:rPr>
          <w:rFonts w:ascii="Arial" w:cs="Arial" w:eastAsia="Arial" w:hAnsi="Arial"/>
          <w:color w:val="0F172A"/>
          <w:sz w:val="24"/>
          <w:szCs w:val="24"/>
        </w:rPr>
        <w:t xml:space="preserve">d) o acolhimento e a decretação da prescrição trienal, sob a égide vinculante do Tema Repetitivo 610 do Superior Tribunal de Justiça (artigo 206, § 3º, inciso IV, do Código Civil), extinguindo-se com resolução do mérito a pretensão de restituição pecuniária atinente a todas as parcelas faturadas no triênio precedente à distribuição da demanda;</w:t>
      </w:r>
    </w:p>
    <w:p>
      <w:pPr>
        <w:spacing w:after="100"/>
      </w:pPr>
    </w:p>
    <w:p>
      <w:pPr>
        <w:spacing w:after="100" w:before="100" w:line="360"/>
        <w:ind w:left="720"/>
        <w:jc w:val="both"/>
      </w:pPr>
      <w:r>
        <w:rPr>
          <w:rFonts w:ascii="Arial" w:cs="Arial" w:eastAsia="Arial" w:hAnsi="Arial"/>
          <w:color w:val="0F172A"/>
          <w:sz w:val="24"/>
          <w:szCs w:val="24"/>
        </w:rPr>
        <w:t xml:space="preserve">e) o julgamento de total improcedência dos pedidos formulados na petição inicial, extinguindo-se o feito com resolução de mérito, com fulcro no artigo 487, inciso I, do Código de Processo Civil, a fim de:</w:t>
      </w:r>
    </w:p>
    <w:p>
      <w:pPr>
        <w:spacing w:after="100"/>
      </w:pPr>
    </w:p>
    <w:p>
      <w:pPr>
        <w:spacing w:after="100" w:before="100" w:line="360"/>
        <w:ind w:left="720"/>
        <w:jc w:val="both"/>
      </w:pPr>
      <w:r>
        <w:rPr>
          <w:rFonts w:ascii="Arial" w:cs="Arial" w:eastAsia="Arial" w:hAnsi="Arial"/>
          <w:color w:val="0F172A"/>
          <w:sz w:val="24"/>
          <w:szCs w:val="24"/>
        </w:rPr>
        <w:t xml:space="preserve">e.1) declarar a validade material e a higidez do contrato Coletivo Empresarial (PME), rechaçando a inaplicável tese de "falso coletivo" e repelindo a pretensão de transmutação contratual e de equiparação forçada aos limitadores de reajuste de planos individuais da ANS, em respeito à autonomia da vontade e ao recente REsp nº 2.233.632/SP do STJ;</w:t>
      </w:r>
    </w:p>
    <w:p>
      <w:pPr>
        <w:spacing w:after="100"/>
      </w:pPr>
    </w:p>
    <w:p>
      <w:pPr>
        <w:spacing w:after="100" w:before="100" w:line="360"/>
        <w:ind w:left="720"/>
        <w:jc w:val="both"/>
      </w:pPr>
      <w:r>
        <w:rPr>
          <w:rFonts w:ascii="Arial" w:cs="Arial" w:eastAsia="Arial" w:hAnsi="Arial"/>
          <w:color w:val="0F172A"/>
          <w:sz w:val="24"/>
          <w:szCs w:val="24"/>
        </w:rPr>
        <w:t xml:space="preserve">e.2) reconhecer a estrita legalidade, a base atuarial e a exatidão matemática dos reajustes técnicos anuais (Percentual de Reajuste Único - PRU) decorrentes do agrupamento compulsório de contratos (pool de risco), com base na Variação de Custos Médico-Hospitalares (VCMH) e na sinistralidade linear, por traduzirem imperativo técnico estatuído pelos artigos 37 e 38 da RN nº 565/2022 da ANS;</w:t>
      </w:r>
    </w:p>
    <w:p>
      <w:pPr>
        <w:spacing w:after="100"/>
      </w:pPr>
    </w:p>
    <w:p>
      <w:pPr>
        <w:spacing w:after="100" w:before="100" w:line="360"/>
        <w:ind w:left="720"/>
        <w:jc w:val="both"/>
      </w:pPr>
      <w:r>
        <w:rPr>
          <w:rFonts w:ascii="Arial" w:cs="Arial" w:eastAsia="Arial" w:hAnsi="Arial"/>
          <w:color w:val="0F172A"/>
          <w:sz w:val="24"/>
          <w:szCs w:val="24"/>
        </w:rPr>
        <w:t xml:space="preserve">e.3) rechaçar o pleito de repetição de indébito, haja vista a manifesta ausência de abusividade ou cobrança indevida (art. 188, I, do Código Civil), atestando-se, subsidiariamente, o exercício regular de direito consubstanciado na aplicação de cláusulas contratuais e normas regulatórias;</w:t>
      </w:r>
    </w:p>
    <w:p>
      <w:pPr>
        <w:spacing w:after="100"/>
      </w:pPr>
    </w:p>
    <w:p>
      <w:pPr>
        <w:spacing w:after="100" w:before="100" w:line="360"/>
        <w:ind w:left="720"/>
        <w:jc w:val="both"/>
      </w:pPr>
      <w:r>
        <w:rPr>
          <w:rFonts w:ascii="Arial" w:cs="Arial" w:eastAsia="Arial" w:hAnsi="Arial"/>
          <w:color w:val="0F172A"/>
          <w:sz w:val="24"/>
          <w:szCs w:val="24"/>
        </w:rPr>
        <w:t xml:space="preserve">e.4) rejeitar o pleito de compensação pecuniária por danos morais, declarando-se a inexistência de ato ilícito, de falha na prestação do serviço ou de dano moral in re ipsa, diante do lídimo e documentado exercício regular de direito da credora, ora contestante (artigo 188, inciso I, do Código Civil);</w:t>
      </w:r>
    </w:p>
    <w:p>
      <w:pPr>
        <w:spacing w:after="100"/>
      </w:pPr>
    </w:p>
    <w:p>
      <w:pPr>
        <w:spacing w:after="100" w:before="100" w:line="360"/>
        <w:ind w:left="720"/>
        <w:jc w:val="both"/>
      </w:pPr>
      <w:r>
        <w:rPr>
          <w:rFonts w:ascii="Arial" w:cs="Arial" w:eastAsia="Arial" w:hAnsi="Arial"/>
          <w:color w:val="0F172A"/>
          <w:sz w:val="24"/>
          <w:szCs w:val="24"/>
        </w:rPr>
        <w:t xml:space="preserve">f) a aplicação das disposições da Lei nº 14.905/2024 e do entendimento vinculante do STJ no Tema 1.368 para os consectários legais, o que se admite apenas pelo princípio da eventualidade, em caráter subsidiário, determinando-se a incidência exclusiva e não cumulativa da Taxa Selic no período anterior à novel legislação civil.</w:t>
      </w:r>
    </w:p>
    <w:p>
      <w:pPr>
        <w:spacing w:after="100"/>
      </w:pPr>
    </w:p>
    <w:p>
      <w:pPr>
        <w:spacing w:after="100" w:before="100" w:line="360"/>
        <w:ind w:left="720"/>
        <w:jc w:val="both"/>
      </w:pPr>
      <w:r>
        <w:rPr>
          <w:rFonts w:ascii="Arial" w:cs="Arial" w:eastAsia="Arial" w:hAnsi="Arial"/>
          <w:color w:val="0F172A"/>
          <w:sz w:val="24"/>
          <w:szCs w:val="24"/>
        </w:rPr>
        <w:t xml:space="preserve">g) o deferimento da produção de todos os meios de prova em direito admitidos, requerendo, destacadamente:</w:t>
      </w:r>
    </w:p>
    <w:p>
      <w:pPr>
        <w:spacing w:after="100" w:before="100" w:line="360"/>
        <w:ind w:left="720"/>
        <w:jc w:val="both"/>
      </w:pPr>
      <w:r>
        <w:rPr>
          <w:rFonts w:ascii="Arial" w:cs="Arial" w:eastAsia="Arial" w:hAnsi="Arial"/>
          <w:color w:val="0F172A"/>
          <w:sz w:val="24"/>
          <w:szCs w:val="24"/>
        </w:rPr>
        <w:t xml:space="preserve">g.1) a admissão, o recebimento e o amplo aproveitamento como prova emprestada (art. 372 do CPC) do irretocável Laudo Pericial Contábil-Atuarial validado nos autos da ação paradigmática nº 1031894-75.2017.8.26.0100 (bem como de suas sentenças e acórdãos correlatos), cujo exame exauriente in loco atesta de forma definitiva a idoneidade das bases de dados, das auditorias (KPMG e Deloitte) e a exatidão na apuração do PRU pela SulAmérica nos contratos corporativos PME, servindo como fato impeditivo inconteste do direito pleiteado;</w:t>
      </w:r>
    </w:p>
    <w:p>
      <w:pPr>
        <w:spacing w:after="100" w:before="100" w:line="360"/>
        <w:ind w:left="720"/>
        <w:jc w:val="both"/>
      </w:pPr>
      <w:r>
        <w:rPr>
          <w:rFonts w:ascii="Arial" w:cs="Arial" w:eastAsia="Arial" w:hAnsi="Arial"/>
          <w:color w:val="0F172A"/>
          <w:sz w:val="24"/>
          <w:szCs w:val="24"/>
        </w:rPr>
        <w:t xml:space="preserve">g.2) a produção de prova pericial técnico-atuarial formal, em caráter subsidiário, caso configurada a convicção deste juízo pela dilação probatória originária nestes autos, a ser conduzida obrigatoriamente por perito oficial cadastrado e registrado junto ao IBA (Instituto Brasileiro de Atuários), mediante diligência in loco ou via sistemas parametrizados na sede da operadora, rito indispensável para a verificação fidedigna do VCMH e da sinistralidade;</w:t>
      </w:r>
    </w:p>
    <w:p>
      <w:pPr>
        <w:spacing w:after="100"/>
      </w:pPr>
    </w:p>
    <w:p>
      <w:pPr>
        <w:spacing w:after="100" w:before="100" w:line="360"/>
        <w:ind w:left="720"/>
        <w:jc w:val="both"/>
      </w:pPr>
      <w:r>
        <w:rPr>
          <w:rFonts w:ascii="Arial" w:cs="Arial" w:eastAsia="Arial" w:hAnsi="Arial"/>
          <w:color w:val="0F172A"/>
          <w:sz w:val="24"/>
          <w:szCs w:val="24"/>
        </w:rPr>
        <w:t xml:space="preserve">h) a manifestação explícita e fundamentada deste respeitável juízo, para fins de prequestionamento, acerca dos dispositivos constitucionais, legais, processuais e regulatórios invocados ao longo da defesa, afastando-se qualquer alegação futura de negativa de prestação jurisdicional;</w:t>
      </w:r>
    </w:p>
    <w:p>
      <w:pPr>
        <w:spacing w:after="100"/>
      </w:pPr>
    </w:p>
    <w:p>
      <w:pPr>
        <w:spacing w:after="100" w:before="100" w:line="360"/>
        <w:ind w:left="720"/>
        <w:jc w:val="both"/>
      </w:pPr>
      <w:r>
        <w:rPr>
          <w:rFonts w:ascii="Arial" w:cs="Arial" w:eastAsia="Arial" w:hAnsi="Arial"/>
          <w:color w:val="0F172A"/>
          <w:sz w:val="24"/>
          <w:szCs w:val="24"/>
        </w:rPr>
        <w:t xml:space="preserve">i) a condenação integral da empresa demandante ao pagamento das custas processuais, despesas periciais e dos honorários advocatícios de sucumbência em favor dos patronos desta operadora, calculados sobre o valor atualizado da causa; e</w:t>
      </w:r>
    </w:p>
    <w:p>
      <w:pPr>
        <w:spacing w:after="100"/>
      </w:pPr>
    </w:p>
    <w:p>
      <w:pPr>
        <w:spacing w:after="100" w:before="100" w:line="360"/>
        <w:ind w:left="720"/>
        <w:jc w:val="both"/>
      </w:pPr>
      <w:r>
        <w:rPr>
          <w:rFonts w:ascii="Arial" w:cs="Arial" w:eastAsia="Arial" w:hAnsi="Arial"/>
          <w:color w:val="0F172A"/>
          <w:sz w:val="24"/>
          <w:szCs w:val="24"/>
        </w:rPr>
        <w:t xml:space="preserve">j) a veiculação de todas as publicações, intimações e notificações de estilo vinculadas ao presente feito em nome do patrono da contestante, Dr. José Antônio Martins, inscrito na OAB/RJ sob o nº 114.760, sob pena de nulidade absoluta.</w:t>
      </w:r>
    </w:p>
    <w:p>
      <w:pPr>
        <w:spacing w:after="120" w:before="240"/>
      </w:pPr>
    </w:p>
    <w:p>
      <w:pPr>
        <w:spacing w:after="80" w:before="200"/>
        <w:jc w:val="left"/>
      </w:pPr>
      <w:r>
        <w:rPr>
          <w:rFonts w:ascii="Arial" w:cs="Arial" w:eastAsia="Arial" w:hAnsi="Arial"/>
          <w:b/>
          <w:bCs/>
          <w:color w:val="0F172A"/>
          <w:sz w:val="24"/>
          <w:szCs w:val="24"/>
        </w:rPr>
        <w:t xml:space="preserve">Nestes Termos,</w:t>
      </w:r>
    </w:p>
    <w:p>
      <w:pPr>
        <w:spacing w:after="80" w:before="200"/>
        <w:jc w:val="left"/>
      </w:pPr>
      <w:r>
        <w:rPr>
          <w:rFonts w:ascii="Arial" w:cs="Arial" w:eastAsia="Arial" w:hAnsi="Arial"/>
          <w:b/>
          <w:bCs/>
          <w:color w:val="0F172A"/>
          <w:sz w:val="24"/>
          <w:szCs w:val="24"/>
        </w:rPr>
        <w:t xml:space="preserve">Pede Deferimento.</w:t>
      </w:r>
    </w:p>
    <w:p>
      <w:pPr>
        <w:spacing w:after="100"/>
      </w:pPr>
    </w:p>
    <w:p>
      <w:pPr>
        <w:spacing w:after="100" w:before="80" w:line="360"/>
        <w:ind w:firstLine="720"/>
        <w:jc w:val="both"/>
      </w:pPr>
      <w:r>
        <w:rPr>
          <w:rFonts w:ascii="Arial" w:cs="Arial" w:eastAsia="Arial" w:hAnsi="Arial"/>
          <w:color w:val="0F172A"/>
          <w:sz w:val="24"/>
          <w:szCs w:val="24"/>
        </w:rPr>
        <w:t xml:space="preserve">Rio de Janeiro – RJ, 20 de setembro de 2026.</w:t>
      </w:r>
    </w:p>
    <w:p>
      <w:pPr>
        <w:spacing w:after="100"/>
      </w:pPr>
    </w:p>
    <w:p>
      <w:pPr>
        <w:spacing w:after="40" w:before="140"/>
        <w:jc w:val="center"/>
      </w:pPr>
      <w:r>
        <w:rPr>
          <w:rFonts w:ascii="Arial" w:cs="Arial" w:eastAsia="Arial" w:hAnsi="Arial"/>
          <w:b/>
          <w:bCs/>
          <w:color w:val="0F172A"/>
          <w:sz w:val="22"/>
          <w:szCs w:val="22"/>
        </w:rPr>
        <w:t xml:space="preserve">BRUNA D’ ANGELO ALVES</w:t>
      </w:r>
    </w:p>
    <w:p>
      <w:pPr>
        <w:spacing w:after="120" w:before="0"/>
        <w:jc w:val="center"/>
      </w:pPr>
      <w:r>
        <w:rPr>
          <w:rFonts w:ascii="Arial" w:cs="Arial" w:eastAsia="Arial" w:hAnsi="Arial"/>
          <w:color w:val="475569"/>
          <w:sz w:val="20"/>
          <w:szCs w:val="20"/>
        </w:rPr>
        <w:t xml:space="preserve">OAB/MG 132.039</w:t>
      </w:r>
    </w:p>
    <w:p>
      <w:pPr>
        <w:spacing w:after="100"/>
      </w:pPr>
    </w:p>
    <w:p>
      <w:pPr>
        <w:spacing w:after="40" w:before="140"/>
        <w:jc w:val="center"/>
      </w:pPr>
      <w:r>
        <w:rPr>
          <w:rFonts w:ascii="Arial" w:cs="Arial" w:eastAsia="Arial" w:hAnsi="Arial"/>
          <w:b/>
          <w:bCs/>
          <w:color w:val="0F172A"/>
          <w:sz w:val="22"/>
          <w:szCs w:val="22"/>
        </w:rPr>
        <w:t xml:space="preserve">MÁRCIO AGUIAR</w:t>
      </w:r>
    </w:p>
    <w:p>
      <w:pPr>
        <w:spacing w:after="120" w:before="0"/>
        <w:jc w:val="center"/>
      </w:pPr>
      <w:r>
        <w:rPr>
          <w:rFonts w:ascii="Arial" w:cs="Arial" w:eastAsia="Arial" w:hAnsi="Arial"/>
          <w:color w:val="475569"/>
          <w:sz w:val="20"/>
          <w:szCs w:val="20"/>
        </w:rPr>
        <w:t xml:space="preserve">OAB/RJ 95.148</w:t>
      </w:r>
    </w:p>
    <w:p>
      <w:pPr>
        <w:spacing w:after="100"/>
      </w:pPr>
    </w:p>
    <w:p>
      <w:pPr>
        <w:spacing w:after="40" w:before="140"/>
        <w:jc w:val="center"/>
      </w:pPr>
      <w:r>
        <w:rPr>
          <w:rFonts w:ascii="Arial" w:cs="Arial" w:eastAsia="Arial" w:hAnsi="Arial"/>
          <w:b/>
          <w:bCs/>
          <w:color w:val="0F172A"/>
          <w:sz w:val="22"/>
          <w:szCs w:val="22"/>
        </w:rPr>
        <w:t xml:space="preserve">JOSÉ ANTÔNIO MARTINS</w:t>
      </w:r>
    </w:p>
    <w:p>
      <w:pPr>
        <w:spacing w:after="120" w:before="0"/>
        <w:jc w:val="center"/>
      </w:pPr>
      <w:r>
        <w:rPr>
          <w:rFonts w:ascii="Arial" w:cs="Arial" w:eastAsia="Arial" w:hAnsi="Arial"/>
          <w:color w:val="475569"/>
          <w:sz w:val="20"/>
          <w:szCs w:val="20"/>
        </w:rPr>
        <w:t xml:space="preserve">OAB/RJ 114.760</w:t>
      </w:r>
    </w:p>
    <w:sectPr>
      <w:headerReference w:type="default" r:id="rId7"/>
      <w:footerReference w:type="default" r:id="rId8"/>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right"/>
    </w:pPr>
    <w:r>
      <w:rPr>
        <w:rFonts w:ascii="Arial" w:cs="Arial" w:eastAsia="Arial" w:hAnsi="Arial"/>
        <w:color w:val="94A3B8"/>
        <w:sz w:val="16"/>
        <w:szCs w:val="16"/>
      </w:rPr>
      <w:t xml:space="preserve">Página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de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b/>
        <w:bCs/>
        <w:color w:val="64748B"/>
        <w:sz w:val="16"/>
        <w:szCs w:val="16"/>
      </w:rPr>
      <w:t xml:space="preserve">CORBO, AGUIAR &amp; WAISE ADVOGADOS ASSOCIADOS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Contestação - 0802491-32.2024.8.19.0001</dc:title>
  <dc:creator>VIPAZ Jurídico — CAW Advogados Associados</dc:creator>
  <dc:description>Peça processual montada pelo Motor Determinístico VIPAZ Jurídico</dc:description>
  <cp:lastModifiedBy>Un-named</cp:lastModifiedBy>
  <cp:revision>1</cp:revision>
  <dcterms:created xsi:type="dcterms:W3CDTF">2026-09-20T19:01:32.486Z</dcterms:created>
  <dcterms:modified xsi:type="dcterms:W3CDTF">2026-09-20T19:01:32.486Z</dcterms:modified>
</cp:coreProperties>
</file>

<file path=docProps/custom.xml><?xml version="1.0" encoding="utf-8"?>
<Properties xmlns="http://schemas.openxmlformats.org/officeDocument/2006/custom-properties" xmlns:vt="http://schemas.openxmlformats.org/officeDocument/2006/docPropsVTypes"/>
</file>