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Arial" w:hAnsi="Arial"/>
          <w:b/>
          <w:i w:val="0"/>
          <w:color w:val="0C2340"/>
          <w:sz w:val="28"/>
        </w:rPr>
        <w:t>Minería de Reglas de Asociación y Caracterización de la Economía Popular en Colombia:</w:t>
        <w:br/>
        <w:t>Un Enfoque de Datos Abiertos Basado en R y Quarto</w:t>
      </w:r>
    </w:p>
    <w:p>
      <w:pPr>
        <w:spacing w:before="240" w:after="80"/>
        <w:jc w:val="left"/>
      </w:pPr>
      <w:r>
        <w:rPr>
          <w:rFonts w:ascii="Arial" w:hAnsi="Arial"/>
          <w:b/>
          <w:i w:val="0"/>
          <w:color w:val="0C2340"/>
          <w:sz w:val="22"/>
        </w:rPr>
        <w:t>Resumen</w:t>
      </w:r>
    </w:p>
    <w:p>
      <w:pPr>
        <w:spacing w:before="0" w:after="360" w:line="240" w:lineRule="auto"/>
        <w:ind w:left="720" w:right="720"/>
        <w:jc w:val="both"/>
      </w:pPr>
      <w:r>
        <w:rPr>
          <w:rFonts w:ascii="Arial" w:hAnsi="Arial"/>
          <w:b w:val="0"/>
          <w:i/>
          <w:color w:val="282828"/>
          <w:sz w:val="20"/>
        </w:rPr>
        <w:t>Este trabajo presenta un pipeline metodológico reproducible desarrollado en R para consolidar, limpiar y analizar de extremo a extremo los microdatos de la Encuesta de Micronegocios (EMICRON) 2024 del DANE, la cual representa a más de 5,3 millones de unidades económicas en Colombia. Mediante el uso de herramientas del ecosistema de R como data.table y tidyverse para la estadística descriptiva ponderada, y el paquete arules para la minería de reglas de asociación (algoritmo Apriori), se identifican patrones sistemáticos que demuestran una polarización estructural del tejido microempresarial. Los resultados revelan que el acceso digital actúa como un sistema acoplado y que la formalización fiscal (RUT) es un factor exógeno que no emerge de manera espontánea, lo cual fundamenta una agenda de intervenciones públicas altamente focalizadas y de bajo costo marginal. Todo el análisis se documenta en un reporte interactivo en Quarto que asegura una reproducibilidad total.</w:t>
      </w:r>
    </w:p>
    <w:p>
      <w:pPr>
        <w:keepNext/>
        <w:spacing w:before="280" w:after="120"/>
        <w:jc w:val="left"/>
      </w:pPr>
      <w:r>
        <w:rPr>
          <w:rFonts w:ascii="Arial" w:hAnsi="Arial"/>
          <w:b/>
          <w:i w:val="0"/>
          <w:color w:val="0C2340"/>
          <w:sz w:val="22"/>
        </w:rPr>
        <w:t>1. Introducción y Contexto</w:t>
      </w:r>
    </w:p>
    <w:p>
      <w:pPr>
        <w:spacing w:before="0" w:after="120" w:line="276" w:lineRule="auto"/>
        <w:jc w:val="both"/>
      </w:pPr>
      <w:r>
        <w:rPr>
          <w:rFonts w:ascii="Arial" w:hAnsi="Arial"/>
          <w:b w:val="0"/>
          <w:i w:val="0"/>
          <w:color w:val="282828"/>
          <w:sz w:val="22"/>
        </w:rPr>
        <w:t>La caracterización y el fortalecimiento de la "economía popular" constituyen un eje central en el debate sobre el desarrollo económico y la inclusión social en América Latina. En Colombia, los micronegocios de subsistencia representan la principal fuente de ingresos y empleo informal para millones de familias. Tradicionalmente, la dificultad para diseñar políticas públicas efectivas en este sector ha radicado en la invisibilidad y en la naturaleza dispersa de estas unidades económicas. La Encuesta de Micronegocios (EMICRON) de 2024 provista por el DANE ofrece una oportunidad única para subsanar este vacío con una muestra de 77.202 registros detallados que, mediante factores de expansión, representan un universo de 5.297,252 micronegocios. Este trabajo aborda el diseño de un flujo de análisis automatizado en R para modelar la interdependencia entre tres fracturas estructurales: la informalidad fiscal, la exclusión digital y la restricción al crédito.</w:t>
      </w:r>
    </w:p>
    <w:p>
      <w:pPr>
        <w:keepNext/>
        <w:spacing w:before="280" w:after="120"/>
        <w:jc w:val="left"/>
      </w:pPr>
      <w:r>
        <w:rPr>
          <w:rFonts w:ascii="Arial" w:hAnsi="Arial"/>
          <w:b/>
          <w:i w:val="0"/>
          <w:color w:val="0C2340"/>
          <w:sz w:val="22"/>
        </w:rPr>
        <w:t>2. Metodología y Procesamiento de Datos con R</w:t>
      </w:r>
    </w:p>
    <w:p>
      <w:pPr>
        <w:spacing w:before="0" w:after="120" w:line="276" w:lineRule="auto"/>
        <w:jc w:val="both"/>
      </w:pPr>
      <w:r>
        <w:rPr>
          <w:rFonts w:ascii="Arial" w:hAnsi="Arial"/>
          <w:b w:val="0"/>
          <w:i w:val="0"/>
          <w:color w:val="282828"/>
          <w:sz w:val="22"/>
        </w:rPr>
        <w:t>Para garantizar la reproducibilidad y el rigor analítico, se desarrolló un pipeline unificado en R estructurado en las siguientes fases:</w:t>
      </w:r>
    </w:p>
    <w:p>
      <w:pPr>
        <w:spacing w:before="0" w:after="80" w:line="276" w:lineRule="auto"/>
        <w:ind w:left="360"/>
        <w:jc w:val="both"/>
      </w:pPr>
      <w:r>
        <w:rPr>
          <w:rFonts w:ascii="Arial" w:hAnsi="Arial"/>
          <w:b/>
          <w:i w:val="0"/>
          <w:color w:val="282828"/>
          <w:sz w:val="22"/>
        </w:rPr>
        <w:t xml:space="preserve">1. Consolidación de Módulos: </w:t>
      </w:r>
      <w:r>
        <w:rPr>
          <w:rFonts w:ascii="Arial" w:hAnsi="Arial"/>
          <w:b w:val="0"/>
          <w:i w:val="0"/>
          <w:color w:val="282828"/>
          <w:sz w:val="22"/>
        </w:rPr>
        <w:t>Se integraron los 11 módulos de datos de la encuesta en un único archivo plano mediante el uso del paquete data.table, optimizando el consumo de memoria en la unión masiva de variables demográficas, de empleo, TIC, financieras y de capital social.</w:t>
      </w:r>
    </w:p>
    <w:p>
      <w:pPr>
        <w:spacing w:before="0" w:after="80" w:line="276" w:lineRule="auto"/>
        <w:ind w:left="360"/>
        <w:jc w:val="both"/>
      </w:pPr>
      <w:r>
        <w:rPr>
          <w:rFonts w:ascii="Arial" w:hAnsi="Arial"/>
          <w:b/>
          <w:i w:val="0"/>
          <w:color w:val="282828"/>
          <w:sz w:val="22"/>
        </w:rPr>
        <w:t xml:space="preserve">2. Feature Engineering y Etiquetado: </w:t>
      </w:r>
      <w:r>
        <w:rPr>
          <w:rFonts w:ascii="Arial" w:hAnsi="Arial"/>
          <w:b w:val="0"/>
          <w:i w:val="0"/>
          <w:color w:val="282828"/>
          <w:sz w:val="22"/>
        </w:rPr>
        <w:t>Se crearon índices sintéticos de madurez digital (digitalización) y de formalización (0 a 5) basados en las respuestas ponderadas, y se aplicaron diccionarios oficiales para etiquetar variables categóricas.</w:t>
      </w:r>
    </w:p>
    <w:p>
      <w:pPr>
        <w:spacing w:before="0" w:after="80" w:line="276" w:lineRule="auto"/>
        <w:ind w:left="360"/>
        <w:jc w:val="both"/>
      </w:pPr>
      <w:r>
        <w:rPr>
          <w:rFonts w:ascii="Arial" w:hAnsi="Arial"/>
          <w:b/>
          <w:i w:val="0"/>
          <w:color w:val="282828"/>
          <w:sz w:val="22"/>
        </w:rPr>
        <w:t xml:space="preserve">3. Estadística Descriptiva Ponderada: </w:t>
      </w:r>
      <w:r>
        <w:rPr>
          <w:rFonts w:ascii="Arial" w:hAnsi="Arial"/>
          <w:b w:val="0"/>
          <w:i w:val="0"/>
          <w:color w:val="282828"/>
          <w:sz w:val="22"/>
        </w:rPr>
        <w:t>Se implementó una función personalizada en R para realizar tabulados de frecuencias y medias ponderadas utilizando el factor de expansión muestral (F_EXP). Esto permitió replicar con precisión de ±0,1% los boletines oficiales de resultados del DANE para 85 cuadros estadísticos.</w:t>
      </w:r>
    </w:p>
    <w:p>
      <w:pPr>
        <w:spacing w:before="0" w:after="80" w:line="276" w:lineRule="auto"/>
        <w:ind w:left="360"/>
        <w:jc w:val="both"/>
      </w:pPr>
      <w:r>
        <w:rPr>
          <w:rFonts w:ascii="Arial" w:hAnsi="Arial"/>
          <w:b/>
          <w:i w:val="0"/>
          <w:color w:val="282828"/>
          <w:sz w:val="22"/>
        </w:rPr>
        <w:t xml:space="preserve">4. Minería de Reglas de Asociación: </w:t>
      </w:r>
      <w:r>
        <w:rPr>
          <w:rFonts w:ascii="Arial" w:hAnsi="Arial"/>
          <w:b w:val="0"/>
          <w:i w:val="0"/>
          <w:color w:val="282828"/>
          <w:sz w:val="22"/>
        </w:rPr>
        <w:t>Se utilizó el paquete arules para aplicar el algoritmo Apriori sobre un conjunto de 30 variables categóricas. Se fijó un umbral de soporte mínimo del 15% (prevalencia en el mercado) y confianza mínima del 70% (certeza de la regla), identificando 39 reglas de alta relevancia.</w:t>
      </w:r>
    </w:p>
    <w:p>
      <w:pPr>
        <w:keepNext/>
        <w:spacing w:before="280" w:after="120"/>
        <w:jc w:val="left"/>
      </w:pPr>
      <w:r>
        <w:rPr>
          <w:rFonts w:ascii="Arial" w:hAnsi="Arial"/>
          <w:b/>
          <w:i w:val="0"/>
          <w:color w:val="0C2340"/>
          <w:sz w:val="22"/>
        </w:rPr>
        <w:t>3. Resultados y Patrones Descubiertos</w:t>
      </w:r>
    </w:p>
    <w:p>
      <w:pPr>
        <w:spacing w:before="0" w:after="120" w:line="276" w:lineRule="auto"/>
        <w:jc w:val="both"/>
      </w:pPr>
      <w:r>
        <w:rPr>
          <w:rFonts w:ascii="Arial" w:hAnsi="Arial"/>
          <w:b w:val="0"/>
          <w:i w:val="0"/>
          <w:color w:val="282828"/>
          <w:sz w:val="22"/>
        </w:rPr>
        <w:t>El análisis descriptivo inicial revela que el micronegocio colombiano es eminentemente unipersonal (82,3% opera de forma autoempleada) y presenta una amplia brecha urbano-rural en términos de formalización fiscal (mientras en cabeceras el 70,4% no cuenta con RUT, en áreas rurales la cifra llega al 94%). Por su parte, la minería de reglas de asociación con R arrojó descubrimientos estructurales de alto impacto conceptual y operativo:</w:t>
      </w:r>
    </w:p>
    <w:p>
      <w:pPr>
        <w:spacing w:before="0" w:after="80" w:line="276" w:lineRule="auto"/>
        <w:ind w:left="360"/>
        <w:jc w:val="both"/>
      </w:pPr>
      <w:r>
        <w:rPr>
          <w:rFonts w:ascii="Arial" w:hAnsi="Arial"/>
          <w:b/>
          <w:i w:val="0"/>
          <w:color w:val="282828"/>
          <w:sz w:val="22"/>
        </w:rPr>
        <w:t xml:space="preserve">• El Ecosistema de la Exclusión Digital (Lift 1,97): </w:t>
      </w:r>
      <w:r>
        <w:rPr>
          <w:rFonts w:ascii="Arial" w:hAnsi="Arial"/>
          <w:b w:val="0"/>
          <w:i w:val="0"/>
          <w:color w:val="282828"/>
          <w:sz w:val="22"/>
        </w:rPr>
        <w:t>La regla {Sin Celular} =&gt; {Sin Internet} con 97,5% de confianza revela que la exclusión tecnológica es sistemática. Quienes no acceden a telefonía móvil quedan automáticamente marginados de cualquier canal digital secundario.</w:t>
      </w:r>
    </w:p>
    <w:p>
      <w:pPr>
        <w:spacing w:before="0" w:after="80" w:line="276" w:lineRule="auto"/>
        <w:ind w:left="360"/>
        <w:jc w:val="both"/>
      </w:pPr>
      <w:r>
        <w:rPr>
          <w:rFonts w:ascii="Arial" w:hAnsi="Arial"/>
          <w:b/>
          <w:i w:val="0"/>
          <w:color w:val="282828"/>
          <w:sz w:val="22"/>
        </w:rPr>
        <w:t xml:space="preserve">• Las TIC como Sistema Acoplado (Lift 1,81): </w:t>
      </w:r>
      <w:r>
        <w:rPr>
          <w:rFonts w:ascii="Arial" w:hAnsi="Arial"/>
          <w:b w:val="0"/>
          <w:i w:val="0"/>
          <w:color w:val="282828"/>
          <w:sz w:val="22"/>
        </w:rPr>
        <w:t>La regla {Celular + Pagos Digitales} =&gt; {Internet} con 81% de confianza indica que las herramientas digitales no se adoptan de manera lineal, sino que se refuerzan como un ecosistema.</w:t>
      </w:r>
    </w:p>
    <w:p>
      <w:pPr>
        <w:spacing w:before="0" w:after="80" w:line="276" w:lineRule="auto"/>
        <w:ind w:left="360"/>
        <w:jc w:val="both"/>
      </w:pPr>
      <w:r>
        <w:rPr>
          <w:rFonts w:ascii="Arial" w:hAnsi="Arial"/>
          <w:b/>
          <w:i w:val="0"/>
          <w:color w:val="282828"/>
          <w:sz w:val="22"/>
        </w:rPr>
        <w:t xml:space="preserve">• La Formalización Fiscal Exógena (Lift = N/A): </w:t>
      </w:r>
      <w:r>
        <w:rPr>
          <w:rFonts w:ascii="Arial" w:hAnsi="Arial"/>
          <w:b w:val="0"/>
          <w:i w:val="0"/>
          <w:color w:val="282828"/>
          <w:sz w:val="22"/>
        </w:rPr>
        <w:t>De las 55.906 reglas candidatas analizadas, ninguna combinación de variables financieras, de ingresos o tecnológicas logró predecir la tenencia de RUT. La formalización es un factor exógeno que requiere intervención pública activa.</w:t>
      </w:r>
    </w:p>
    <w:p>
      <w:pPr>
        <w:keepNext/>
        <w:spacing w:before="280" w:after="120"/>
        <w:jc w:val="left"/>
      </w:pPr>
      <w:r>
        <w:rPr>
          <w:rFonts w:ascii="Arial" w:hAnsi="Arial"/>
          <w:b/>
          <w:i w:val="0"/>
          <w:color w:val="0C2340"/>
          <w:sz w:val="22"/>
        </w:rPr>
        <w:t>4. Segmentación del Ecosistema y Agenda de Política Pública</w:t>
      </w:r>
    </w:p>
    <w:p>
      <w:pPr>
        <w:spacing w:before="0" w:after="120" w:line="276" w:lineRule="auto"/>
        <w:jc w:val="both"/>
      </w:pPr>
      <w:r>
        <w:rPr>
          <w:rFonts w:ascii="Arial" w:hAnsi="Arial"/>
          <w:b w:val="0"/>
          <w:i w:val="0"/>
          <w:color w:val="282828"/>
          <w:sz w:val="22"/>
        </w:rPr>
        <w:t>Integrando los modelos descriptivos y relacionales, el trabajo plantea una segmentación polarizada en tres grupos:</w:t>
      </w:r>
    </w:p>
    <w:p>
      <w:pPr>
        <w:spacing w:before="0" w:after="80" w:line="276" w:lineRule="auto"/>
        <w:ind w:left="360"/>
        <w:jc w:val="both"/>
      </w:pPr>
      <w:r>
        <w:rPr>
          <w:rFonts w:ascii="Arial" w:hAnsi="Arial"/>
          <w:b/>
          <w:i w:val="0"/>
          <w:color w:val="282828"/>
          <w:sz w:val="22"/>
        </w:rPr>
        <w:t xml:space="preserve">• Grupo A - Excluidos (65%): </w:t>
      </w:r>
      <w:r>
        <w:rPr>
          <w:rFonts w:ascii="Arial" w:hAnsi="Arial"/>
          <w:b w:val="0"/>
          <w:i w:val="0"/>
          <w:color w:val="282828"/>
          <w:sz w:val="22"/>
        </w:rPr>
        <w:t>Negocios analógicos atrapados en un círculo vicioso de exclusión.</w:t>
      </w:r>
    </w:p>
    <w:p>
      <w:pPr>
        <w:spacing w:before="0" w:after="80" w:line="276" w:lineRule="auto"/>
        <w:ind w:left="360"/>
        <w:jc w:val="both"/>
      </w:pPr>
      <w:r>
        <w:rPr>
          <w:rFonts w:ascii="Arial" w:hAnsi="Arial"/>
          <w:b/>
          <w:i w:val="0"/>
          <w:color w:val="282828"/>
          <w:sz w:val="22"/>
        </w:rPr>
        <w:t xml:space="preserve">• Grupo B - Incluidos (8%): </w:t>
      </w:r>
      <w:r>
        <w:rPr>
          <w:rFonts w:ascii="Arial" w:hAnsi="Arial"/>
          <w:b w:val="0"/>
          <w:i w:val="0"/>
          <w:color w:val="282828"/>
          <w:sz w:val="22"/>
        </w:rPr>
        <w:t>Negocios con RUT, conectividad y acceso crediticio.</w:t>
      </w:r>
    </w:p>
    <w:p>
      <w:pPr>
        <w:spacing w:before="0" w:after="80" w:line="276" w:lineRule="auto"/>
        <w:ind w:left="360"/>
        <w:jc w:val="both"/>
      </w:pPr>
      <w:r>
        <w:rPr>
          <w:rFonts w:ascii="Arial" w:hAnsi="Arial"/>
          <w:b/>
          <w:i w:val="0"/>
          <w:color w:val="282828"/>
          <w:sz w:val="22"/>
        </w:rPr>
        <w:t xml:space="preserve">• Grupo C - En Transición (27%): </w:t>
      </w:r>
      <w:r>
        <w:rPr>
          <w:rFonts w:ascii="Arial" w:hAnsi="Arial"/>
          <w:b w:val="0"/>
          <w:i w:val="0"/>
          <w:color w:val="282828"/>
          <w:sz w:val="22"/>
        </w:rPr>
        <w:t>1,4 millones de unidades que poseen celular pero carecen de internet. Este representa el puente de menor costo marginal para la inversión pública.</w:t>
      </w:r>
    </w:p>
    <w:p>
      <w:pPr>
        <w:spacing w:before="0" w:after="120" w:line="276" w:lineRule="auto"/>
        <w:jc w:val="both"/>
      </w:pPr>
      <w:r>
        <w:rPr>
          <w:rFonts w:ascii="Arial" w:hAnsi="Arial"/>
          <w:b w:val="0"/>
          <w:i w:val="0"/>
          <w:color w:val="282828"/>
          <w:sz w:val="22"/>
        </w:rPr>
        <w:t>Las propuestas presentadas en el reporte Quarto final priorizan subsidios a conectividad focalizados geográficamente según los tabulados y el rediseño del RUT como un servicio estatal unificado que reduzca la doble captura administrativa.</w:t>
      </w:r>
    </w:p>
    <w:p>
      <w:pPr>
        <w:keepNext/>
        <w:spacing w:before="280" w:after="120"/>
        <w:jc w:val="left"/>
      </w:pPr>
      <w:r>
        <w:rPr>
          <w:rFonts w:ascii="Arial" w:hAnsi="Arial"/>
          <w:b/>
          <w:i w:val="0"/>
          <w:color w:val="0C2340"/>
          <w:sz w:val="22"/>
        </w:rPr>
        <w:t>5. Conclusiones y Reproducibilidad</w:t>
      </w:r>
    </w:p>
    <w:p>
      <w:pPr>
        <w:spacing w:before="0" w:after="120" w:line="276" w:lineRule="auto"/>
        <w:jc w:val="both"/>
      </w:pPr>
      <w:r>
        <w:rPr>
          <w:rFonts w:ascii="Arial" w:hAnsi="Arial"/>
          <w:b w:val="0"/>
          <w:i w:val="0"/>
          <w:color w:val="282828"/>
          <w:sz w:val="22"/>
        </w:rPr>
        <w:t>Este proyecto demuestra la madurez de R y de herramientas de publicación como Quarto para democratizar el análisis cuantitativo de políticas públicas en América Latina. El pipeline completo, incluyendo scripts de consolidación, bases de datos procesadas, figuras exploratorias y el reporte interactivo unificado, se encuentra publicado en un repositorio de código abierto en GitHub (https://github.com/dmetrics1/micronegocios-colombia-2024) para su auditoría y réplica por parte de la comunidad científica regional.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