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Accenture Texas Medicaid Account Report</w:t>
      </w:r>
    </w:p>
    <w:p>
      <w:pPr>
        <w:pStyle w:val="SubtitleCustom"/>
        <w:jc w:val="center"/>
      </w:pPr>
      <w:r>
        <w:t>Comprehensive dossier on “the Chief” role, dashboard concept, and executive dashboard product specification</w:t>
      </w:r>
    </w:p>
    <w:p/>
    <w:tbl>
      <w:tblPr>
        <w:tblW w:type="auto" w:w="0"/>
        <w:jc w:val="center"/>
        <w:tblLayout w:type="fixed"/>
        <w:tblLook w:firstColumn="1" w:firstRow="1" w:lastColumn="0" w:lastRow="0" w:noHBand="0" w:noVBand="1" w:val="04A0"/>
      </w:tblPr>
      <w:tblGrid>
        <w:gridCol w:w="4824"/>
        <w:gridCol w:w="4824"/>
      </w:tblGrid>
      <w:tr>
        <w:tc>
          <w:tcPr>
            <w:tcW w:type="dxa" w:w="2304"/>
            <w:vAlign w:val="center"/>
            <w:shd w:fill="DCE6F1"/>
          </w:tcPr>
          <w:p>
            <w:pPr>
              <w:spacing w:after="40"/>
            </w:pPr>
            <w:r>
              <w:rPr>
                <w:b/>
              </w:rPr>
              <w:t>Prepared for</w:t>
            </w:r>
          </w:p>
        </w:tc>
        <w:tc>
          <w:tcPr>
            <w:tcW w:type="dxa" w:w="6912"/>
            <w:vAlign w:val="center"/>
            <w:shd w:fill="F7F9FC"/>
          </w:tcPr>
          <w:p>
            <w:pPr>
              <w:spacing w:after="40"/>
            </w:pPr>
            <w:r>
              <w:t>User-requested research synthesis and product-design concept</w:t>
            </w:r>
          </w:p>
        </w:tc>
      </w:tr>
      <w:tr>
        <w:tc>
          <w:tcPr>
            <w:tcW w:type="dxa" w:w="2304"/>
            <w:vAlign w:val="center"/>
            <w:shd w:fill="DCE6F1"/>
          </w:tcPr>
          <w:p>
            <w:pPr>
              <w:spacing w:after="40"/>
            </w:pPr>
            <w:r>
              <w:rPr>
                <w:b/>
              </w:rPr>
              <w:t>Contents</w:t>
            </w:r>
          </w:p>
        </w:tc>
        <w:tc>
          <w:tcPr>
            <w:tcW w:type="dxa" w:w="6912"/>
            <w:vAlign w:val="center"/>
            <w:shd w:fill="F7F9FC"/>
          </w:tcPr>
          <w:p>
            <w:pPr>
              <w:spacing w:after="40"/>
            </w:pPr>
            <w:r>
              <w:t>1) Chief dossier and role analysis  2) Dashboard content and interaction concept  3) Full executive dashboard product spec</w:t>
            </w:r>
          </w:p>
        </w:tc>
      </w:tr>
      <w:tr>
        <w:tc>
          <w:tcPr>
            <w:tcW w:type="dxa" w:w="2304"/>
            <w:vAlign w:val="center"/>
            <w:shd w:fill="DCE6F1"/>
          </w:tcPr>
          <w:p>
            <w:pPr>
              <w:spacing w:after="40"/>
            </w:pPr>
            <w:r>
              <w:rPr>
                <w:b/>
              </w:rPr>
              <w:t>Date</w:t>
            </w:r>
          </w:p>
        </w:tc>
        <w:tc>
          <w:tcPr>
            <w:tcW w:type="dxa" w:w="6912"/>
            <w:vAlign w:val="center"/>
            <w:shd w:fill="F7F9FC"/>
          </w:tcPr>
          <w:p>
            <w:pPr>
              <w:spacing w:after="40"/>
            </w:pPr>
            <w:r>
              <w:t>April 8, 2026</w:t>
            </w:r>
          </w:p>
        </w:tc>
      </w:tr>
    </w:tbl>
    <w:p/>
    <w:p>
      <w:pPr>
        <w:pStyle w:val="Callout"/>
        <w:jc w:val="left"/>
        <w:shd w:fill="F4F6F8"/>
      </w:pPr>
      <w:r>
        <w:rPr>
          <w:b/>
        </w:rPr>
        <w:t>Note on method: This report combines public-record findings with explicitly labeled reasoned analysis. Where the underlying public record is sparse, the report separates documented facts from high-confidence inference about what the role likely entails.</w:t>
      </w:r>
    </w:p>
    <w:p>
      <w:r>
        <w:br w:type="page"/>
      </w:r>
    </w:p>
    <w:p>
      <w:pPr>
        <w:pStyle w:val="Heading1"/>
      </w:pPr>
      <w:r>
        <w:t>Contents</w:t>
      </w:r>
    </w:p>
    <w:p>
      <w:pPr>
        <w:pStyle w:val="BulletCustom"/>
        <w:spacing w:after="40"/>
      </w:pPr>
      <w:r>
        <w:t>Part I. Dossier on Chris Mayfield / “the Chief”</w:t>
      </w:r>
    </w:p>
    <w:p>
      <w:pPr>
        <w:pStyle w:val="BulletCustom"/>
        <w:spacing w:after="40"/>
      </w:pPr>
      <w:r>
        <w:t>Part II. Role analysis: what the Chief’s role likely means in Texas and inside Accenture</w:t>
      </w:r>
    </w:p>
    <w:p>
      <w:pPr>
        <w:pStyle w:val="BulletCustom"/>
        <w:spacing w:after="40"/>
      </w:pPr>
      <w:r>
        <w:t>Part III. Executive dashboard concept: what the dashboard should contain and why</w:t>
      </w:r>
    </w:p>
    <w:p>
      <w:pPr>
        <w:pStyle w:val="BulletCustom"/>
        <w:spacing w:after="40"/>
      </w:pPr>
      <w:r>
        <w:t>Part IV. Full product specification for the executive dashboard</w:t>
      </w:r>
    </w:p>
    <w:p>
      <w:pPr>
        <w:pStyle w:val="BulletCustom"/>
        <w:spacing w:after="40"/>
      </w:pPr>
      <w:r>
        <w:t>Appendix. Public source list referenced in the underlying research</w:t>
      </w:r>
    </w:p>
    <w:p>
      <w:pPr>
        <w:pStyle w:val="Heading1"/>
      </w:pPr>
      <w:r>
        <w:t>Part I. Dossier on Chris Mayfield / “the Chief”</w:t>
      </w:r>
    </w:p>
    <w:p>
      <w:pPr>
        <w:pStyle w:val="Heading2"/>
      </w:pPr>
      <w:r>
        <w:t>Executive overview</w:t>
      </w:r>
    </w:p>
    <w:p>
      <w:r>
        <w:t>Chris Mayfield appears, from the public record, to be the current Accenture executive with the clearest formal authority over the main Texas HHSC Medicaid administration contract. The strongest public evidence is a January 31, 2025 amendment to HHSC contract 529-16-0007-00001 naming Chris Mayfield as Account Director for Accenture State Healthcare Services LLC.</w:t>
      </w:r>
    </w:p>
    <w:p>
      <w:r>
        <w:t>That matters because the Texas contract is not peripheral. State audit and budget records identify the underlying Accenture engagement as the Medicaid Management Information System / Drug Rebate Administration contract, while TMHP materials describe Accenture as the leader of the broader contractor group administering Texas Medicaid and other state health care programs for HHSC.</w:t>
      </w:r>
    </w:p>
    <w:p>
      <w:r>
        <w:t>In practical terms, the person in Mayfield’s seat is likely not just a signatory. The role appears to sit at the intersection of contract accountability, delivery oversight, client relationship management, ecosystem coordination, growth strategy, and executive escalation management for one of the most consequential state Medicaid accounts in the country.</w:t>
      </w:r>
    </w:p>
    <w:p>
      <w:pPr>
        <w:pStyle w:val="Heading2"/>
      </w:pPr>
      <w:r>
        <w:t>Documented public facts</w:t>
      </w:r>
    </w:p>
    <w:p>
      <w:r>
        <w:t>Public profile traces: search-result snippets from LinkedIn identify Chris Mayfield as a Managing Director at Accenture in Austin, Texas, educated at The University of Texas at Austin. The Texas e-Health Alliance board page independently identifies Chris Mayfield as Board Secretary and Managing Director, Accenture. A 2020 State HIT Connect listing also identifies him as Managing Director, Accenture.</w:t>
      </w:r>
    </w:p>
    <w:p>
      <w:r>
        <w:t>Texas Medicaid account role by 2021: an HHSC Office of Inspector General report from April 29, 2021 identifies Chris Mayfield as Technology Delivery Lead for Accenture State Healthcare Services LLC for Texas Medicaid Management.</w:t>
      </w:r>
    </w:p>
    <w:p>
      <w:r>
        <w:t>Formal contract-facing role by 2025: a January 31, 2025 HHSC contract amendment for Contract 529-16-0007-00001 names Chris Mayfield as Account Director on the Accenture side of the agreement.</w:t>
      </w:r>
    </w:p>
    <w:p>
      <w:r>
        <w:t>Timeline implication: the strongest public chronology suggests a progression from major delivery leadership on the Texas Medicaid account by 2021 to top account or contract leadership by early 2025.</w:t>
      </w:r>
    </w:p>
    <w:p>
      <w:r>
        <w:t>Scale of the account: the Texas State Auditor’s Office identified Contract 529-16-0007-00001 as the MMIS / Drug Rebate Administration contract. Public budget and audit records show the contract value growing dramatically over time, into the billion-dollar range.</w:t>
      </w:r>
    </w:p>
    <w:p>
      <w:pPr>
        <w:pStyle w:val="Heading2"/>
      </w:pPr>
      <w:r>
        <w:t>What sits under the role in Texas</w:t>
      </w:r>
    </w:p>
    <w:p>
      <w:r>
        <w:t>TMHP publicly says that the Texas Medicaid &amp; Healthcare Partnership is a group of contractors under the leadership of Accenture and that Accenture administers Texas Medicaid and other state health care programs on behalf of HHSC.</w:t>
      </w:r>
    </w:p>
    <w:p>
      <w:r>
        <w:t>Under the modular TMHP structure that went live in September 2023, Accenture became the TMHP Business Operations and Business Integration (BusOps) vendor. TMHP describes that role as functioning as the project management office across TMHP vendors and managing major operational domains including project management, prior authorizations, medical necessity determinations, call center operations, Medicaid enrollment outreach, and mailroom/document intake services.</w:t>
      </w:r>
    </w:p>
    <w:p>
      <w:r>
        <w:t>TMHP also announced in April 2024 that, after HHSC terminated the planned Conduent transition, Accenture would continue operating as the TMHP claims vendor until further notice.</w:t>
      </w:r>
    </w:p>
    <w:p>
      <w:r>
        <w:t>Texas contract records separately identify a major EVV System Management Services contract held by Accenture. Taken together, the public picture suggests that the Chief’s role sits over a portfolio broader than a single narrow functional tower.</w:t>
      </w:r>
    </w:p>
    <w:p>
      <w:pPr>
        <w:pStyle w:val="Heading2"/>
      </w:pPr>
      <w:r>
        <w:t>High-confidence inference about Mayfield’s current position</w:t>
      </w:r>
    </w:p>
    <w:p>
      <w:r>
        <w:t>The most plausible reading of the public record is that Chris Mayfield is functioning as Accenture’s top day-to-day executive owner of the Texas Medicaid account, or very near to that level. Public evidence shows him as a Managing Director, a senior delivery leader on Texas Medicaid by 2021, and the named Account Director on the flagship HHSC Medicaid contract by January 2025. The exact boundaries of his span of control are not public, but the role almost certainly includes significant authority over client stewardship, delivery, cross-vendor orchestration, commercial posture, and issue escalation.</w:t>
      </w:r>
    </w:p>
    <w:p>
      <w:pPr>
        <w:pStyle w:val="Heading1"/>
      </w:pPr>
      <w:r>
        <w:t>Part II. Role analysis: what the Chief’s role likely means in Texas and inside Accenture</w:t>
      </w:r>
    </w:p>
    <w:p>
      <w:pPr>
        <w:pStyle w:val="Heading2"/>
      </w:pPr>
      <w:r>
        <w:t>Broad view</w:t>
      </w:r>
    </w:p>
    <w:p>
      <w:r>
        <w:t>The Chief’s role appears to be much closer to a mini-CEO of the Texas Medicaid account than to a narrow contract administrator. Accenture’s public descriptions of senior client-account leadership roles emphasize end-to-end accountability for client relationships, revenue and profitability, solution shaping, delivery performance, contractual commitments, issue escalation, and growth.</w:t>
      </w:r>
    </w:p>
    <w:p>
      <w:r>
        <w:t>In the Texas context, that translates into a role that likely spans operational accountability, ecosystem orchestration, commercial management, political and reputational risk containment, and future opportunity positioning.</w:t>
      </w:r>
    </w:p>
    <w:p>
      <w:pPr>
        <w:pStyle w:val="Heading2"/>
      </w:pPr>
      <w:r>
        <w:t>What the role likely means in the context of the State of Texas</w:t>
      </w:r>
    </w:p>
    <w:p>
      <w:pPr>
        <w:pStyle w:val="BulletCustom"/>
        <w:spacing w:after="40"/>
      </w:pPr>
      <w:r>
        <w:t>Operational continuity. The Chief likely owns executive accountability for keeping critical Medicaid operations stable: claims continuity, prior authorization and medical necessity workflows, intake and outreach functions, and support structures that keep providers, members, and HHSC from experiencing breakdowns.</w:t>
      </w:r>
    </w:p>
    <w:p>
      <w:pPr>
        <w:pStyle w:val="BulletCustom"/>
        <w:spacing w:after="40"/>
      </w:pPr>
      <w:r>
        <w:t>Cross-vendor coordination. Because the BusOps role is explicitly described as the PMO across TMHP vendors, the Chief likely has to manage interdependencies, release coordination, responsibility boundaries, and executive escalation across a multi-vendor ecosystem.</w:t>
      </w:r>
    </w:p>
    <w:p>
      <w:pPr>
        <w:pStyle w:val="BulletCustom"/>
        <w:spacing w:after="40"/>
      </w:pPr>
      <w:r>
        <w:t>Contract and amendment stewardship. A large public-sector account of this size requires continuous scope, pricing, amendment, and term management. The Chief likely sits at the center of the client-side conversation around what changes, what gets funded, and how delivery commitments and commercial health are balanced.</w:t>
      </w:r>
    </w:p>
    <w:p>
      <w:pPr>
        <w:pStyle w:val="BulletCustom"/>
        <w:spacing w:after="40"/>
      </w:pPr>
      <w:r>
        <w:t>Political and reputational risk management. Texas Medicaid is politically sensitive, budget-sensitive, and highly visible. The Chief’s role likely includes staying ahead of issues that could become audit findings, legislative flashpoints, provider backlash, or damaging press coverage.</w:t>
      </w:r>
    </w:p>
    <w:p>
      <w:pPr>
        <w:pStyle w:val="Heading2"/>
      </w:pPr>
      <w:r>
        <w:t>What the role likely means in the context of Accenture’s corporate structure</w:t>
      </w:r>
    </w:p>
    <w:p>
      <w:pPr>
        <w:pStyle w:val="BulletCustom"/>
        <w:spacing w:after="40"/>
      </w:pPr>
      <w:r>
        <w:t>The role likely sits below broader U.S. Health &amp; Public Service leadership but above many delivery leaders. It is probably the account-level executive integrator for one of Accenture’s largest state Medicaid relationships.</w:t>
      </w:r>
    </w:p>
    <w:p>
      <w:pPr>
        <w:pStyle w:val="BulletCustom"/>
        <w:spacing w:after="40"/>
      </w:pPr>
      <w:r>
        <w:t>The Chief likely translates Texas account reality upward into the forms Accenture leadership cares about: revenue predictability, delivery risk, client satisfaction, referenceability, competitive positioning, and reusable capability development.</w:t>
      </w:r>
    </w:p>
    <w:p>
      <w:pPr>
        <w:pStyle w:val="BulletCustom"/>
        <w:spacing w:after="40"/>
      </w:pPr>
      <w:r>
        <w:t>The role likely also operates sideways across Accenture’s matrix - working with domain leaders, solution leaders, technologists, operations leaders, and growth teams that support Medicaid modernization, eligibility, cloud, data, call center operations, program integrity, and AI-driven transformation.</w:t>
      </w:r>
    </w:p>
    <w:p>
      <w:pPr>
        <w:pStyle w:val="Heading2"/>
      </w:pPr>
      <w:r>
        <w:t>Likely relationship to peer leaders in other states and at CMS</w:t>
      </w:r>
    </w:p>
    <w:p>
      <w:r>
        <w:t>The Chief is likely part of a peer cohort of account leaders responsible for other major government-health clients, including state Medicaid clients and CMS-related work. Those peer relationships matter because large-account leaders in firms like Accenture share proposal strategies, staffing approaches, risk lessons, reusable assets, and account-governance practices.</w:t>
      </w:r>
    </w:p>
    <w:p>
      <w:r>
        <w:t>That means the Chief’s job is probably not just to run Texas. It is also to help Accenture answer a broader strategic question: how can the Texas account be used as a reference case, playbook, and source of reusable intellectual capital for winning or expanding similar work in other states?</w:t>
      </w:r>
    </w:p>
    <w:p>
      <w:pPr>
        <w:pStyle w:val="Heading2"/>
      </w:pPr>
      <w:r>
        <w:t>Current and near-term responsibilities the Chief likely carries</w:t>
      </w:r>
    </w:p>
    <w:p>
      <w:pPr>
        <w:pStyle w:val="BulletCustom"/>
        <w:spacing w:after="40"/>
      </w:pPr>
      <w:r>
        <w:t>Stabilize a still-evolving modular environment and prevent operational slippage during vendor-boundary change.</w:t>
      </w:r>
    </w:p>
    <w:p>
      <w:pPr>
        <w:pStyle w:val="BulletCustom"/>
        <w:spacing w:after="40"/>
      </w:pPr>
      <w:r>
        <w:t>Manage executive escalation for service, integration, and performance issues.</w:t>
      </w:r>
    </w:p>
    <w:p>
      <w:pPr>
        <w:pStyle w:val="BulletCustom"/>
        <w:spacing w:after="40"/>
      </w:pPr>
      <w:r>
        <w:t>Protect commercial health while negotiating scope changes and amendments.</w:t>
      </w:r>
    </w:p>
    <w:p>
      <w:pPr>
        <w:pStyle w:val="BulletCustom"/>
        <w:spacing w:after="40"/>
      </w:pPr>
      <w:r>
        <w:t>Maintain HHSC confidence through disciplined issue management and credible roadmap discussions.</w:t>
      </w:r>
    </w:p>
    <w:p>
      <w:pPr>
        <w:pStyle w:val="BulletCustom"/>
        <w:spacing w:after="40"/>
      </w:pPr>
      <w:r>
        <w:t>Track federal policy changes, Texas policy shifts, and procurement activity that could affect current scope or create adjacent opportunity.</w:t>
      </w:r>
    </w:p>
    <w:p>
      <w:pPr>
        <w:pStyle w:val="BulletCustom"/>
        <w:spacing w:after="40"/>
      </w:pPr>
      <w:r>
        <w:t>Turn Texas delivery experience into reusable case material for growth and pursuit work.</w:t>
      </w:r>
    </w:p>
    <w:p>
      <w:pPr>
        <w:pStyle w:val="Heading2"/>
      </w:pPr>
      <w:r>
        <w:t>Mid-term preparation needs</w:t>
      </w:r>
    </w:p>
    <w:p>
      <w:pPr>
        <w:pStyle w:val="BulletCustom"/>
        <w:spacing w:after="40"/>
      </w:pPr>
      <w:r>
        <w:t>Prepare for rebids, renewals, contract extensions, and adjacent solicitations.</w:t>
      </w:r>
    </w:p>
    <w:p>
      <w:pPr>
        <w:pStyle w:val="BulletCustom"/>
        <w:spacing w:after="40"/>
      </w:pPr>
      <w:r>
        <w:t>Build bench strength and succession depth within the account so the portfolio is not overdependent on a small number of key operators.</w:t>
      </w:r>
    </w:p>
    <w:p>
      <w:pPr>
        <w:pStyle w:val="BulletCustom"/>
        <w:spacing w:after="40"/>
      </w:pPr>
      <w:r>
        <w:t>Increase automation, analytics, and operational leverage to protect margin and improve delivery quality.</w:t>
      </w:r>
    </w:p>
    <w:p>
      <w:pPr>
        <w:pStyle w:val="BulletCustom"/>
        <w:spacing w:after="40"/>
      </w:pPr>
      <w:r>
        <w:t>Shape Texas into a showcase for modular PMO governance, claims continuity, and managed-services maturity.</w:t>
      </w:r>
    </w:p>
    <w:p>
      <w:pPr>
        <w:pStyle w:val="Heading2"/>
      </w:pPr>
      <w:r>
        <w:t>Likely career ambitions associated with success in this role</w:t>
      </w:r>
    </w:p>
    <w:p>
      <w:r>
        <w:t>A person who has moved from Technology Delivery Lead to Account Director on a flagship Texas Medicaid account has already climbed significantly. The most plausible next ambitions would include broader public-service account leadership, a multi-state Medicaid portfolio role, a national offering-lead position in Medicaid or eligibility modernization, or movement closer to the upper tier of U.S. Health &amp; Public Service leadership.</w:t>
      </w:r>
    </w:p>
    <w:p>
      <w:r>
        <w:t>In short, success in the Chief’s role likely serves as a proving ground for larger-scale client leadership or broader market-facing leadership inside Accenture.</w:t>
      </w:r>
    </w:p>
    <w:p>
      <w:pPr>
        <w:pStyle w:val="Heading1"/>
      </w:pPr>
      <w:r>
        <w:t>Part III. Executive dashboard concept: what the dashboard should contain and why</w:t>
      </w:r>
    </w:p>
    <w:p>
      <w:pPr>
        <w:pStyle w:val="Heading2"/>
      </w:pPr>
      <w:r>
        <w:t>Design goal</w:t>
      </w:r>
    </w:p>
    <w:p>
      <w:r>
        <w:t>The dashboard should feel like an executive command surface for the Chief. It should answer five questions within twenty seconds: Is Texas stable today? Where is Texas drifting off benchmark versus fair peers? What external events are about to hit the account? Where are growth or renewal opportunities? What needs executive attention now rather than next week?</w:t>
      </w:r>
    </w:p>
    <w:p>
      <w:r>
        <w:t>Cross-state comparison should absolutely be included, but only in a disciplined way. Texas is a non-expansion state and differs from many states in managed-care structure, eligibility rules, procurement models, geography, and provider-market conditions. Cross-state comparison belongs in the product as a decision-support layer, not as a simplistic leaderboard.</w:t>
      </w:r>
    </w:p>
    <w:p>
      <w:pPr>
        <w:pStyle w:val="Heading2"/>
      </w:pPr>
      <w:r>
        <w:t>What should be on the front page</w:t>
      </w:r>
    </w:p>
    <w:p>
      <w:pPr>
        <w:pStyle w:val="BulletCustom"/>
        <w:spacing w:after="40"/>
      </w:pPr>
      <w:r>
        <w:t>Texas Pulse ribbon: a slim, always-visible top band with live indicators such as enrollment, 12-month delta, applications received, processing timeliness, a call-center proxy, number of new procurement or policy items, OIG signal count, days until next major procurement milestone, and days since the last major vendor-structure event.</w:t>
      </w:r>
    </w:p>
    <w:p>
      <w:pPr>
        <w:pStyle w:val="BulletCustom"/>
        <w:spacing w:after="40"/>
      </w:pPr>
      <w:r>
        <w:t>Executive Radar ticker: a continuously updating, eye-catching ribbon that cycles through short, meaningful live statements such as enrollment deltas, timeliness changes, procurement countdowns, policy counts, and regional access or network pressure signals.</w:t>
      </w:r>
    </w:p>
    <w:p>
      <w:pPr>
        <w:pStyle w:val="BulletCustom"/>
        <w:spacing w:after="40"/>
      </w:pPr>
      <w:r>
        <w:t>Executive Attention Now card: three to five ranked AI-generated insight cards with why-it-matters language, confidence scoring, likely account impact, and click-through to supporting evidence.</w:t>
      </w:r>
    </w:p>
    <w:p>
      <w:pPr>
        <w:pStyle w:val="BulletCustom"/>
        <w:spacing w:after="40"/>
      </w:pPr>
      <w:r>
        <w:t>Graph 1 - Texas vs Peer States Operational Benchmark: a multi-line trend chart with selectors for enrollment, processing timeliness, call center operations, share of population enrolled, managed-care share, or quality bundle metrics.</w:t>
      </w:r>
    </w:p>
    <w:p>
      <w:pPr>
        <w:pStyle w:val="BulletCustom"/>
        <w:spacing w:after="40"/>
      </w:pPr>
      <w:r>
        <w:t>Graph 2 - Risk &amp; Opportunity Matrix: an interactive bubble chart with strategic upside on one axis, delivery/political/regulatory risk on the other, bubble size representing likely account impact, and color representing trend direction.</w:t>
      </w:r>
    </w:p>
    <w:p>
      <w:pPr>
        <w:pStyle w:val="BulletCustom"/>
        <w:spacing w:after="40"/>
      </w:pPr>
      <w:r>
        <w:t>Texas Contract &amp; Ecosystem Map: an interactive node-link map of HHSC, TMHP/Accenture, BusOps, claims, EVV, other vendors, CMS, OIG, and quality/access oversight structures.</w:t>
      </w:r>
    </w:p>
    <w:p>
      <w:pPr>
        <w:pStyle w:val="BulletCustom"/>
        <w:spacing w:after="40"/>
      </w:pPr>
      <w:r>
        <w:t>Signals from the Edge: a ranked feed of external developments from HHSC procurement pages, TMHP notices, CMS all-state calls and policy releases, Texas OIG materials, and other relevant public sources.</w:t>
      </w:r>
    </w:p>
    <w:p>
      <w:pPr>
        <w:pStyle w:val="Heading2"/>
      </w:pPr>
      <w:r>
        <w:t>What display types would likely be most useful to the Chief</w:t>
      </w:r>
    </w:p>
    <w:p>
      <w:pPr>
        <w:pStyle w:val="BulletCustom"/>
        <w:spacing w:after="40"/>
      </w:pPr>
      <w:r>
        <w:t>Ranked insight cards that compress many signals into three or four high-value items rather than dumping raw updates.</w:t>
      </w:r>
    </w:p>
    <w:p>
      <w:pPr>
        <w:pStyle w:val="BulletCustom"/>
        <w:spacing w:after="40"/>
      </w:pPr>
      <w:r>
        <w:t>Small-multiple trend lines for operational metrics over time.</w:t>
      </w:r>
    </w:p>
    <w:p>
      <w:pPr>
        <w:pStyle w:val="BulletCustom"/>
        <w:spacing w:after="40"/>
      </w:pPr>
      <w:r>
        <w:t>Heatmaps for peer-state and county or service-area comparisons.</w:t>
      </w:r>
    </w:p>
    <w:p>
      <w:pPr>
        <w:pStyle w:val="BulletCustom"/>
        <w:spacing w:after="40"/>
      </w:pPr>
      <w:r>
        <w:t>A carefully used radar chart showing Texas versus peer median across a handful of normalized dimensions.</w:t>
      </w:r>
    </w:p>
    <w:p>
      <w:pPr>
        <w:pStyle w:val="BulletCustom"/>
        <w:spacing w:after="40"/>
      </w:pPr>
      <w:r>
        <w:t>Sankey or funnel views for applications, determinations, and processing flows where public data supports it.</w:t>
      </w:r>
    </w:p>
    <w:p>
      <w:pPr>
        <w:pStyle w:val="BulletCustom"/>
        <w:spacing w:after="40"/>
      </w:pPr>
      <w:r>
        <w:t>An alert strip or ticker that feels live and executive-relevant rather than decorative.</w:t>
      </w:r>
    </w:p>
    <w:p>
      <w:pPr>
        <w:pStyle w:val="Heading2"/>
      </w:pPr>
      <w:r>
        <w:t>How cross-state comparison should be handled</w:t>
      </w:r>
    </w:p>
    <w:p>
      <w:r>
        <w:t>The right peer-state framework is selective, not universal. The dashboard should allow the Chief to switch among scale peers, non-expansion peers, Sun Belt peers, managed-care-heavy peers, pursuit states, and a custom peer set.</w:t>
      </w:r>
    </w:p>
    <w:p>
      <w:r>
        <w:t>Good cross-state comparisons include total Medicaid/CHIP enrollment, share of population enrolled, applications received, processing timeliness, call-center operations, managed-care share, and selected quality or access indicators where the underlying definitions are sufficiently comparable.</w:t>
      </w:r>
    </w:p>
    <w:p>
      <w:r>
        <w:t>Comparisons to avoid or quarantine on the front page include naïve denial-rate comparisons, raw provider counts without geography and taxonomy normalization, and simplistic 'Texas ranks number X' displays that conceal major structural differences.</w:t>
      </w:r>
    </w:p>
    <w:p>
      <w:pPr>
        <w:pStyle w:val="Heading2"/>
      </w:pPr>
      <w:r>
        <w:t>How the subsidiary pages should deepen the front page</w:t>
      </w:r>
    </w:p>
    <w:p>
      <w:pPr>
        <w:pStyle w:val="BulletCustom"/>
        <w:spacing w:after="40"/>
      </w:pPr>
      <w:r>
        <w:t>Texas Operations page: the 'how is the machine running?' page, with enrollment, applications, determinations, processing timeliness, call-center views, TMHP operational notices, and event timelines.</w:t>
      </w:r>
    </w:p>
    <w:p>
      <w:pPr>
        <w:pStyle w:val="BulletCustom"/>
        <w:spacing w:after="40"/>
      </w:pPr>
      <w:r>
        <w:t>Benchmarking &amp; Peer States page: the 'how does Texas compare fairly?' page, with normalized state comparisons, peer-set builders, gap-to-peer-median views, and caveat-rich interpretation.</w:t>
      </w:r>
    </w:p>
    <w:p>
      <w:pPr>
        <w:pStyle w:val="BulletCustom"/>
        <w:spacing w:after="40"/>
      </w:pPr>
      <w:r>
        <w:t>Contracts, Procurements &amp; Revenue page: the 'what contract events matter and where is the business headed?' page, with contract inventories, amendment histories, Gantt-style timelines, procurement calendars, and adjacent opportunity watchlists.</w:t>
      </w:r>
    </w:p>
    <w:p>
      <w:pPr>
        <w:pStyle w:val="BulletCustom"/>
        <w:spacing w:after="40"/>
      </w:pPr>
      <w:r>
        <w:t>Policy &amp; Regulatory Watch page: the 'what policy changes could hit the account?' page, with CMS all-state calls, waiver or SPA watch, federal guidance digests, and impact mapping.</w:t>
      </w:r>
    </w:p>
    <w:p>
      <w:pPr>
        <w:pStyle w:val="BulletCustom"/>
        <w:spacing w:after="40"/>
      </w:pPr>
      <w:r>
        <w:t>Quality, Access &amp; Network page: the page that ties operational choices to member and provider outcomes through quality dashboards, network adequacy views, and regional heatmaps.</w:t>
      </w:r>
    </w:p>
    <w:p>
      <w:pPr>
        <w:pStyle w:val="BulletCustom"/>
        <w:spacing w:after="40"/>
      </w:pPr>
      <w:r>
        <w:t>Integrity, Audit &amp; Exposure page: a public-risk page for OIG reporting, issue clustering, severity-versus-recency views, and executive watch lists.</w:t>
      </w:r>
    </w:p>
    <w:p>
      <w:pPr>
        <w:pStyle w:val="BulletCustom"/>
        <w:spacing w:after="40"/>
      </w:pPr>
      <w:r>
        <w:t>Competitive &amp; Growth Intelligence page: a strategic page for public Accenture wins, competitor activity, state modernization activity, and reusable Texas reference points.</w:t>
      </w:r>
    </w:p>
    <w:p>
      <w:pPr>
        <w:pStyle w:val="Heading1"/>
      </w:pPr>
      <w:r>
        <w:t>Part IV. Full product specification for the executive dashboard</w:t>
      </w:r>
    </w:p>
    <w:p>
      <w:pPr>
        <w:pStyle w:val="Heading2"/>
      </w:pPr>
      <w:r>
        <w:t>1. Product vision</w:t>
      </w:r>
    </w:p>
    <w:p>
      <w:r>
        <w:t>Purpose: Give the Chief a single executive dashboard that combines Texas operational awareness, fair peer-state benchmarking, procurement and policy radar, quality/access signals, and AI-ranked executive insights.</w:t>
      </w:r>
    </w:p>
    <w:p>
      <w:r>
        <w:t>Core promise: The dashboard should not just display metrics. It should detect meaningful change, explain why it matters, distinguish signal from noise, compare Texas fairly to peers, and let the user drill from summary to evidence in one click.</w:t>
      </w:r>
    </w:p>
    <w:p>
      <w:r>
        <w:t>Design principles: executive rather than cluttered, alive but not noisy, comparative but methodologically careful, AI-assisted but evidence-linked, and visually polished enough to feel like a serious strategic instrument.</w:t>
      </w:r>
    </w:p>
    <w:p>
      <w:pPr>
        <w:pStyle w:val="Heading2"/>
      </w:pPr>
      <w:r>
        <w:t>2. Primary users and usage modes</w:t>
      </w:r>
    </w:p>
    <w:p>
      <w:pPr>
        <w:pStyle w:val="BulletCustom"/>
        <w:spacing w:after="40"/>
      </w:pPr>
      <w:r>
        <w:t>Primary user: the Chief, the senior account executive responsible for the Texas Medicaid/TMHP business.</w:t>
      </w:r>
    </w:p>
    <w:p>
      <w:pPr>
        <w:pStyle w:val="BulletCustom"/>
        <w:spacing w:after="40"/>
      </w:pPr>
      <w:r>
        <w:t>Secondary users: account strategy lead, delivery lead, growth lead, operations/performance lead, policy lead, and executive staff preparing briefings.</w:t>
      </w:r>
    </w:p>
    <w:p>
      <w:pPr>
        <w:pStyle w:val="BulletCustom"/>
        <w:spacing w:after="40"/>
      </w:pPr>
      <w:r>
        <w:t>Usage modes: morning scan, pre-briefing prep, issue investigation, and growth/renewal planning.</w:t>
      </w:r>
    </w:p>
    <w:p>
      <w:pPr>
        <w:pStyle w:val="Heading2"/>
      </w:pPr>
      <w:r>
        <w:t>3. Information architecture</w:t>
      </w:r>
    </w:p>
    <w:p>
      <w:pPr>
        <w:pStyle w:val="BulletCustom"/>
        <w:spacing w:after="40"/>
      </w:pPr>
      <w:r>
        <w:t>Front page: Executive Command Surface.</w:t>
      </w:r>
    </w:p>
    <w:p>
      <w:pPr>
        <w:pStyle w:val="BulletCustom"/>
        <w:spacing w:after="40"/>
      </w:pPr>
      <w:r>
        <w:t>Subsidiary pages: Texas Operations; Benchmarking &amp; Peer States; Contracts, Procurements &amp; Revenue; Policy &amp; Regulatory Watch; Quality, Access &amp; Network; Integrity, Audit &amp; Exposure; Competitive &amp; Growth Intelligence.</w:t>
      </w:r>
    </w:p>
    <w:p>
      <w:pPr>
        <w:pStyle w:val="Heading2"/>
      </w:pPr>
      <w:r>
        <w:t>4. Front-page layout</w:t>
      </w:r>
    </w:p>
    <w:p>
      <w:pPr>
        <w:pStyle w:val="BulletCustom"/>
        <w:spacing w:after="40"/>
      </w:pPr>
      <w:r>
        <w:t>Persistent top ribbon: Texas Pulse.</w:t>
      </w:r>
    </w:p>
    <w:p>
      <w:pPr>
        <w:pStyle w:val="BulletCustom"/>
        <w:spacing w:after="40"/>
      </w:pPr>
      <w:r>
        <w:t>Left column: Executive Attention Now and the Operational Benchmark graph.</w:t>
      </w:r>
    </w:p>
    <w:p>
      <w:pPr>
        <w:pStyle w:val="BulletCustom"/>
        <w:spacing w:after="40"/>
      </w:pPr>
      <w:r>
        <w:t>Center column: Risk &amp; Opportunity graph and the Texas Contract / Ecosystem Map.</w:t>
      </w:r>
    </w:p>
    <w:p>
      <w:pPr>
        <w:pStyle w:val="BulletCustom"/>
        <w:spacing w:after="40"/>
      </w:pPr>
      <w:r>
        <w:t>Right column: Executive Radar ticker, Signals from the Edge feed, and a meeting/briefing prep card.</w:t>
      </w:r>
    </w:p>
    <w:p>
      <w:pPr>
        <w:pStyle w:val="Heading2"/>
      </w:pPr>
      <w:r>
        <w:t>5. Front-page component specs</w:t>
      </w:r>
    </w:p>
    <w:tbl>
      <w:tblPr>
        <w:tblStyle w:val="TableGrid"/>
        <w:tblW w:type="auto" w:w="0"/>
        <w:jc w:val="center"/>
        <w:tblLook w:firstColumn="1" w:firstRow="1" w:lastColumn="0" w:lastRow="0" w:noHBand="0" w:noVBand="1" w:val="04A0"/>
      </w:tblPr>
      <w:tblGrid>
        <w:gridCol w:w="3216"/>
        <w:gridCol w:w="3216"/>
        <w:gridCol w:w="3216"/>
      </w:tblGrid>
      <w:tr>
        <w:tc>
          <w:tcPr>
            <w:tcW w:type="dxa" w:w="2304"/>
            <w:vAlign w:val="center"/>
          </w:tcPr>
          <w:p>
            <w:r>
              <w:t>Component</w:t>
            </w:r>
          </w:p>
        </w:tc>
        <w:tc>
          <w:tcPr>
            <w:tcW w:type="dxa" w:w="2592"/>
            <w:vAlign w:val="center"/>
          </w:tcPr>
          <w:p>
            <w:r>
              <w:t>Purpose</w:t>
            </w:r>
          </w:p>
        </w:tc>
        <w:tc>
          <w:tcPr>
            <w:tcW w:type="dxa" w:w="4320"/>
            <w:vAlign w:val="center"/>
          </w:tcPr>
          <w:p>
            <w:r>
              <w:t>Key contents / behavior</w:t>
            </w:r>
          </w:p>
        </w:tc>
      </w:tr>
      <w:tr>
        <w:tc>
          <w:tcPr>
            <w:tcW w:type="dxa" w:w="2304"/>
            <w:vAlign w:val="center"/>
          </w:tcPr>
          <w:p>
            <w:r>
              <w:t>Texas Pulse ribbon</w:t>
            </w:r>
          </w:p>
        </w:tc>
        <w:tc>
          <w:tcPr>
            <w:tcW w:type="dxa" w:w="2592"/>
            <w:vAlign w:val="center"/>
          </w:tcPr>
          <w:p>
            <w:r>
              <w:t>Always-visible account pulse</w:t>
            </w:r>
          </w:p>
        </w:tc>
        <w:tc>
          <w:tcPr>
            <w:tcW w:type="dxa" w:w="4320"/>
            <w:vAlign w:val="center"/>
          </w:tcPr>
          <w:p>
            <w:r>
              <w:t>Enrollment, 12-month delta, applications, processing timeliness, call-center proxy, procurement and policy counts, OIG signal count, countdowns.</w:t>
            </w:r>
          </w:p>
        </w:tc>
      </w:tr>
      <w:tr>
        <w:tc>
          <w:tcPr>
            <w:tcW w:type="dxa" w:w="2304"/>
            <w:vAlign w:val="center"/>
          </w:tcPr>
          <w:p>
            <w:r>
              <w:t>Executive Radar ticker</w:t>
            </w:r>
          </w:p>
        </w:tc>
        <w:tc>
          <w:tcPr>
            <w:tcW w:type="dxa" w:w="2592"/>
            <w:vAlign w:val="center"/>
          </w:tcPr>
          <w:p>
            <w:r>
              <w:t>Eye-catching live movement</w:t>
            </w:r>
          </w:p>
        </w:tc>
        <w:tc>
          <w:tcPr>
            <w:tcW w:type="dxa" w:w="4320"/>
            <w:vAlign w:val="center"/>
          </w:tcPr>
          <w:p>
            <w:r>
              <w:t>Rotates every 10-15 seconds through concise statements on enrollment, timeliness, procurement timing, policy items, and access or network pressure.</w:t>
            </w:r>
          </w:p>
        </w:tc>
      </w:tr>
      <w:tr>
        <w:tc>
          <w:tcPr>
            <w:tcW w:type="dxa" w:w="2304"/>
            <w:vAlign w:val="center"/>
          </w:tcPr>
          <w:p>
            <w:r>
              <w:t>Executive Attention Now</w:t>
            </w:r>
          </w:p>
        </w:tc>
        <w:tc>
          <w:tcPr>
            <w:tcW w:type="dxa" w:w="2592"/>
            <w:vAlign w:val="center"/>
          </w:tcPr>
          <w:p>
            <w:r>
              <w:t>AI-ranked summary of what matters most</w:t>
            </w:r>
          </w:p>
        </w:tc>
        <w:tc>
          <w:tcPr>
            <w:tcW w:type="dxa" w:w="4320"/>
            <w:vAlign w:val="center"/>
          </w:tcPr>
          <w:p>
            <w:r>
              <w:t>Three to five insight cards with why-it-matters text, confidence labels, impact, and action prompts.</w:t>
            </w:r>
          </w:p>
        </w:tc>
      </w:tr>
      <w:tr>
        <w:tc>
          <w:tcPr>
            <w:tcW w:type="dxa" w:w="2304"/>
            <w:vAlign w:val="center"/>
          </w:tcPr>
          <w:p>
            <w:r>
              <w:t>Graph 1: Operational Benchmark</w:t>
            </w:r>
          </w:p>
        </w:tc>
        <w:tc>
          <w:tcPr>
            <w:tcW w:type="dxa" w:w="2592"/>
            <w:vAlign w:val="center"/>
          </w:tcPr>
          <w:p>
            <w:r>
              <w:t>Texas vs peer-state comparison</w:t>
            </w:r>
          </w:p>
        </w:tc>
        <w:tc>
          <w:tcPr>
            <w:tcW w:type="dxa" w:w="4320"/>
            <w:vAlign w:val="center"/>
          </w:tcPr>
          <w:p>
            <w:r>
              <w:t>Multi-line trend chart with metric selector and Fair Compare mode.</w:t>
            </w:r>
          </w:p>
        </w:tc>
      </w:tr>
      <w:tr>
        <w:tc>
          <w:tcPr>
            <w:tcW w:type="dxa" w:w="2304"/>
            <w:vAlign w:val="center"/>
          </w:tcPr>
          <w:p>
            <w:r>
              <w:t>Graph 2: Risk &amp; Opportunity Matrix</w:t>
            </w:r>
          </w:p>
        </w:tc>
        <w:tc>
          <w:tcPr>
            <w:tcW w:type="dxa" w:w="2592"/>
            <w:vAlign w:val="center"/>
          </w:tcPr>
          <w:p>
            <w:r>
              <w:t>Where the Chief should spend attention</w:t>
            </w:r>
          </w:p>
        </w:tc>
        <w:tc>
          <w:tcPr>
            <w:tcW w:type="dxa" w:w="4320"/>
            <w:vAlign w:val="center"/>
          </w:tcPr>
          <w:p>
            <w:r>
              <w:t>Interactive bubble chart: strategic upside vs risk; bubble size = account impact; color = trend direction.</w:t>
            </w:r>
          </w:p>
        </w:tc>
      </w:tr>
      <w:tr>
        <w:tc>
          <w:tcPr>
            <w:tcW w:type="dxa" w:w="2304"/>
            <w:vAlign w:val="center"/>
          </w:tcPr>
          <w:p>
            <w:r>
              <w:t>Texas Contract &amp; Ecosystem Map</w:t>
            </w:r>
          </w:p>
        </w:tc>
        <w:tc>
          <w:tcPr>
            <w:tcW w:type="dxa" w:w="2592"/>
            <w:vAlign w:val="center"/>
          </w:tcPr>
          <w:p>
            <w:r>
              <w:t>Show how the account fits together</w:t>
            </w:r>
          </w:p>
        </w:tc>
        <w:tc>
          <w:tcPr>
            <w:tcW w:type="dxa" w:w="4320"/>
            <w:vAlign w:val="center"/>
          </w:tcPr>
          <w:p>
            <w:r>
              <w:t>Interactive node-link map of HHSC, TMHP/Accenture, BusOps, claims, EVV, other vendors, CMS, OIG, and major dependencies.</w:t>
            </w:r>
          </w:p>
        </w:tc>
      </w:tr>
      <w:tr>
        <w:tc>
          <w:tcPr>
            <w:tcW w:type="dxa" w:w="2304"/>
            <w:vAlign w:val="center"/>
          </w:tcPr>
          <w:p>
            <w:r>
              <w:t>Signals from the Edge</w:t>
            </w:r>
          </w:p>
        </w:tc>
        <w:tc>
          <w:tcPr>
            <w:tcW w:type="dxa" w:w="2592"/>
            <w:vAlign w:val="center"/>
          </w:tcPr>
          <w:p>
            <w:r>
              <w:t>External developments ranked by importance</w:t>
            </w:r>
          </w:p>
        </w:tc>
        <w:tc>
          <w:tcPr>
            <w:tcW w:type="dxa" w:w="4320"/>
            <w:vAlign w:val="center"/>
          </w:tcPr>
          <w:p>
            <w:r>
              <w:t>Feed of procurement, policy, notice, OIG, quality, and public-signal items ranked by relevance.</w:t>
            </w:r>
          </w:p>
        </w:tc>
      </w:tr>
    </w:tbl>
    <w:p>
      <w:pPr>
        <w:pStyle w:val="Heading2"/>
      </w:pPr>
      <w:r>
        <w:t>6. Subsidiary page specs</w:t>
      </w:r>
    </w:p>
    <w:p>
      <w:pPr>
        <w:pStyle w:val="Heading3"/>
      </w:pPr>
      <w:r>
        <w:t>Texas Operations</w:t>
      </w:r>
    </w:p>
    <w:p>
      <w:r>
        <w:t>Answers 'How is the machine running?' Includes enrollment trends, applications and determinations funnel, processing timeliness, call-center performance, TMHP notices, and operational event timelines.</w:t>
      </w:r>
    </w:p>
    <w:p>
      <w:pPr>
        <w:pStyle w:val="Heading3"/>
      </w:pPr>
      <w:r>
        <w:t>Benchmarking &amp; Peer States</w:t>
      </w:r>
    </w:p>
    <w:p>
      <w:r>
        <w:t>Answers 'How does Texas compare fairly?' Includes peer-set builder, normalized rankings, gap-to-peer-median calculations, and a 'Why this comparison is fair / not fair' explanation panel.</w:t>
      </w:r>
    </w:p>
    <w:p>
      <w:pPr>
        <w:pStyle w:val="Heading3"/>
      </w:pPr>
      <w:r>
        <w:t>Contracts, Procurements &amp; Revenue</w:t>
      </w:r>
    </w:p>
    <w:p>
      <w:r>
        <w:t>Answers 'What contract events matter, and where is the business headed?' Includes contract inventory, timelines, amendment history, procurement watchlist, and adjacent opportunities.</w:t>
      </w:r>
    </w:p>
    <w:p>
      <w:pPr>
        <w:pStyle w:val="Heading3"/>
      </w:pPr>
      <w:r>
        <w:t>Policy &amp; Regulatory Watch</w:t>
      </w:r>
    </w:p>
    <w:p>
      <w:r>
        <w:t>Answers 'What policy changes could hit the account?' Includes CMS all-state calls, guidance digest, waiver and SPA tracker, and impact mapping by function.</w:t>
      </w:r>
    </w:p>
    <w:p>
      <w:pPr>
        <w:pStyle w:val="Heading3"/>
      </w:pPr>
      <w:r>
        <w:t>Quality, Access &amp; Network</w:t>
      </w:r>
    </w:p>
    <w:p>
      <w:r>
        <w:t>Answers 'How do operational choices connect to member and provider outcomes?' Includes quality trends, network adequacy views, service-area heatmaps, and scorecards.</w:t>
      </w:r>
    </w:p>
    <w:p>
      <w:pPr>
        <w:pStyle w:val="Heading3"/>
      </w:pPr>
      <w:r>
        <w:t>Integrity, Audit &amp; Exposure</w:t>
      </w:r>
    </w:p>
    <w:p>
      <w:r>
        <w:t>Answers 'Where might public scrutiny, audit, or integrity risk rise?' Includes OIG issue taxonomy, issue frequency trends, topic clusters, and executive watch lists.</w:t>
      </w:r>
    </w:p>
    <w:p>
      <w:pPr>
        <w:pStyle w:val="Heading3"/>
      </w:pPr>
      <w:r>
        <w:t>Competitive &amp; Growth Intelligence</w:t>
      </w:r>
    </w:p>
    <w:p>
      <w:r>
        <w:t>Answers 'How do we defend and grow from this account?' Includes Accenture public wins, competitor activity, state modernization map, and reusable-capability matrix.</w:t>
      </w:r>
    </w:p>
    <w:p>
      <w:pPr>
        <w:pStyle w:val="Heading2"/>
      </w:pPr>
      <w:r>
        <w:t>7. Data-source inventory</w:t>
      </w:r>
    </w:p>
    <w:p>
      <w:pPr>
        <w:pStyle w:val="Heading3"/>
      </w:pPr>
      <w:r>
        <w:t>Tier 1 - must-have sources</w:t>
      </w:r>
    </w:p>
    <w:p>
      <w:pPr>
        <w:pStyle w:val="BulletCustom"/>
        <w:spacing w:after="40"/>
      </w:pPr>
      <w:r>
        <w:t>CMS Medicaid and CHIP Eligibility Operations and Enrollment Snapshot.</w:t>
      </w:r>
    </w:p>
    <w:p>
      <w:pPr>
        <w:pStyle w:val="BulletCustom"/>
        <w:spacing w:after="40"/>
      </w:pPr>
      <w:r>
        <w:t>CMS Medicaid/CHIP Enrollment Data and state overview pages.</w:t>
      </w:r>
    </w:p>
    <w:p>
      <w:pPr>
        <w:pStyle w:val="BulletCustom"/>
        <w:spacing w:after="40"/>
      </w:pPr>
      <w:r>
        <w:t>Texas HHSC procurement forecast and procurement opportunities pages.</w:t>
      </w:r>
    </w:p>
    <w:p>
      <w:pPr>
        <w:pStyle w:val="BulletCustom"/>
        <w:spacing w:after="40"/>
      </w:pPr>
      <w:r>
        <w:t>TMHP news and public notices describing BusOps, claims continuity, and vendor structure.</w:t>
      </w:r>
    </w:p>
    <w:p>
      <w:pPr>
        <w:pStyle w:val="BulletCustom"/>
        <w:spacing w:after="40"/>
      </w:pPr>
      <w:r>
        <w:t>Texas managed-care quality strategy and related quality / analytics materials.</w:t>
      </w:r>
    </w:p>
    <w:p>
      <w:pPr>
        <w:pStyle w:val="BulletCustom"/>
        <w:spacing w:after="40"/>
      </w:pPr>
      <w:r>
        <w:t>Texas OIG quarterly reporting and related public integrity materials.</w:t>
      </w:r>
    </w:p>
    <w:p>
      <w:pPr>
        <w:pStyle w:val="Heading3"/>
      </w:pPr>
      <w:r>
        <w:t>Tier 2 - strong supporting sources</w:t>
      </w:r>
    </w:p>
    <w:p>
      <w:pPr>
        <w:pStyle w:val="BulletCustom"/>
        <w:spacing w:after="40"/>
      </w:pPr>
      <w:r>
        <w:t>Texas Medicaid/CHIP reference guide and broader HHSC planning documents.</w:t>
      </w:r>
    </w:p>
    <w:p>
      <w:pPr>
        <w:pStyle w:val="BulletCustom"/>
        <w:spacing w:after="40"/>
      </w:pPr>
      <w:r>
        <w:t>CMS all-state call materials and waiver / SPA documents.</w:t>
      </w:r>
    </w:p>
    <w:p>
      <w:pPr>
        <w:pStyle w:val="BulletCustom"/>
        <w:spacing w:after="40"/>
      </w:pPr>
      <w:r>
        <w:t>Public procurement portals from other states for competitive and pursuit context.</w:t>
      </w:r>
    </w:p>
    <w:p>
      <w:pPr>
        <w:pStyle w:val="BulletCustom"/>
        <w:spacing w:after="40"/>
      </w:pPr>
      <w:r>
        <w:t>KFF, MACPAC, and other contextual Medicaid policy resources.</w:t>
      </w:r>
    </w:p>
    <w:p>
      <w:pPr>
        <w:pStyle w:val="Heading2"/>
      </w:pPr>
      <w:r>
        <w:t>8. Refresh cadence</w:t>
      </w:r>
    </w:p>
    <w:p>
      <w:pPr>
        <w:pStyle w:val="BulletCustom"/>
        <w:spacing w:after="40"/>
      </w:pPr>
      <w:r>
        <w:t>Daily or near-real-time: procurement pages, TMHP notices, CMS policy postings, OIG updates, public opportunity watch.</w:t>
      </w:r>
    </w:p>
    <w:p>
      <w:pPr>
        <w:pStyle w:val="BulletCustom"/>
        <w:spacing w:after="40"/>
      </w:pPr>
      <w:r>
        <w:t>Weekly: AI narrative summaries, cross-state ranking refresh, opportunity and risk recalculation.</w:t>
      </w:r>
    </w:p>
    <w:p>
      <w:pPr>
        <w:pStyle w:val="BulletCustom"/>
        <w:spacing w:after="40"/>
      </w:pPr>
      <w:r>
        <w:t>Monthly: enrollment and eligibility-operations refresh; benchmark graphs and operational comparison updates.</w:t>
      </w:r>
    </w:p>
    <w:p>
      <w:pPr>
        <w:pStyle w:val="BulletCustom"/>
        <w:spacing w:after="40"/>
      </w:pPr>
      <w:r>
        <w:t>Quarterly: quality/access, network adequacy, OIG digesting, and executive briefing-pack regeneration.</w:t>
      </w:r>
    </w:p>
    <w:p>
      <w:pPr>
        <w:pStyle w:val="Heading2"/>
      </w:pPr>
      <w:r>
        <w:t>9. AI features that make the product impressive</w:t>
      </w:r>
    </w:p>
    <w:p>
      <w:pPr>
        <w:pStyle w:val="BulletCustom"/>
        <w:spacing w:after="40"/>
      </w:pPr>
      <w:r>
        <w:t>Executive insight generation: summarize many public sources into concise, ranked, evidence-linked insights.</w:t>
      </w:r>
    </w:p>
    <w:p>
      <w:pPr>
        <w:pStyle w:val="BulletCustom"/>
        <w:spacing w:after="40"/>
      </w:pPr>
      <w:r>
        <w:t>Fair-comparison engine: explain why a peer comparison is valid or misleading, and adjust benchmark views accordingly.</w:t>
      </w:r>
    </w:p>
    <w:p>
      <w:pPr>
        <w:pStyle w:val="BulletCustom"/>
        <w:spacing w:after="40"/>
      </w:pPr>
      <w:r>
        <w:t>Drill-down narrative: every chart gets an 'Explain this' layer with summary, drivers, caveats, and possible account implications.</w:t>
      </w:r>
    </w:p>
    <w:p>
      <w:pPr>
        <w:pStyle w:val="BulletCustom"/>
        <w:spacing w:after="40"/>
      </w:pPr>
      <w:r>
        <w:t>Briefing generator: one-click outputs for morning brief, HHSC prep, internal growth brief, risk memo, or peer-state memo.</w:t>
      </w:r>
    </w:p>
    <w:p>
      <w:pPr>
        <w:pStyle w:val="BulletCustom"/>
        <w:spacing w:after="40"/>
      </w:pPr>
      <w:r>
        <w:t>Natural-language query box for questions such as 'What changed in Texas vs Florida over the last six months?'</w:t>
      </w:r>
    </w:p>
    <w:p>
      <w:pPr>
        <w:pStyle w:val="Heading2"/>
      </w:pPr>
      <w:r>
        <w:t>10. Scoring models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CE6F1"/>
          </w:tcPr>
          <w:p>
            <w:r>
              <w:t>Score</w:t>
            </w:r>
          </w:p>
        </w:tc>
        <w:tc>
          <w:tcPr>
            <w:tcW w:type="dxa" w:w="3216"/>
            <w:vAlign w:val="center"/>
            <w:shd w:fill="DCE6F1"/>
          </w:tcPr>
          <w:p>
            <w:r>
              <w:t>Purpose</w:t>
            </w:r>
          </w:p>
        </w:tc>
        <w:tc>
          <w:tcPr>
            <w:tcW w:type="dxa" w:w="3216"/>
            <w:vAlign w:val="center"/>
            <w:shd w:fill="DCE6F1"/>
          </w:tcPr>
          <w:p>
            <w:r>
              <w:t>Indicative factors</w:t>
            </w:r>
          </w:p>
        </w:tc>
      </w:tr>
      <w:tr>
        <w:tc>
          <w:tcPr>
            <w:tcW w:type="dxa" w:w="3216"/>
            <w:vAlign w:val="center"/>
          </w:tcPr>
          <w:p>
            <w:r>
              <w:t>Executive Attention Score</w:t>
            </w:r>
          </w:p>
        </w:tc>
        <w:tc>
          <w:tcPr>
            <w:tcW w:type="dxa" w:w="3216"/>
            <w:vAlign w:val="center"/>
          </w:tcPr>
          <w:p>
            <w:r>
              <w:t>Ranks what belongs on the front page</w:t>
            </w:r>
          </w:p>
        </w:tc>
        <w:tc>
          <w:tcPr>
            <w:tcW w:type="dxa" w:w="3216"/>
            <w:vAlign w:val="center"/>
          </w:tcPr>
          <w:p>
            <w:r>
              <w:t>Recency, materiality, account relevance, corroboration, external visibility / reputational sensitivity</w:t>
            </w:r>
          </w:p>
        </w:tc>
      </w:tr>
      <w:tr>
        <w:tc>
          <w:tcPr>
            <w:tcW w:type="dxa" w:w="3216"/>
            <w:vAlign w:val="center"/>
          </w:tcPr>
          <w:p>
            <w:r>
              <w:t>Risk Score</w:t>
            </w:r>
          </w:p>
        </w:tc>
        <w:tc>
          <w:tcPr>
            <w:tcW w:type="dxa" w:w="3216"/>
            <w:vAlign w:val="center"/>
          </w:tcPr>
          <w:p>
            <w:r>
              <w:t>Surfaces operational or strategic concern</w:t>
            </w:r>
          </w:p>
        </w:tc>
        <w:tc>
          <w:tcPr>
            <w:tcW w:type="dxa" w:w="3216"/>
            <w:vAlign w:val="center"/>
          </w:tcPr>
          <w:p>
            <w:r>
              <w:t>Operational deterioration, quality/access deterioration, policy turbulence, audit relevance, procurement vulnerability</w:t>
            </w:r>
          </w:p>
        </w:tc>
      </w:tr>
      <w:tr>
        <w:tc>
          <w:tcPr>
            <w:tcW w:type="dxa" w:w="3216"/>
            <w:vAlign w:val="center"/>
          </w:tcPr>
          <w:p>
            <w:r>
              <w:t>Opportunity Score</w:t>
            </w:r>
          </w:p>
        </w:tc>
        <w:tc>
          <w:tcPr>
            <w:tcW w:type="dxa" w:w="3216"/>
            <w:vAlign w:val="center"/>
          </w:tcPr>
          <w:p>
            <w:r>
              <w:t>Surfaces growth and adjacency possibilities</w:t>
            </w:r>
          </w:p>
        </w:tc>
        <w:tc>
          <w:tcPr>
            <w:tcW w:type="dxa" w:w="3216"/>
            <w:vAlign w:val="center"/>
          </w:tcPr>
          <w:p>
            <w:r>
              <w:t>Adjacency to current scope, visible procurement timing, demand signal, Texas referenceability, strategic fit</w:t>
            </w:r>
          </w:p>
        </w:tc>
      </w:tr>
    </w:tbl>
    <w:p>
      <w:pPr>
        <w:pStyle w:val="Heading2"/>
      </w:pPr>
      <w:r>
        <w:t>11. UX guidance</w:t>
      </w:r>
    </w:p>
    <w:p>
      <w:pPr>
        <w:pStyle w:val="BulletCustom"/>
        <w:spacing w:after="40"/>
      </w:pPr>
      <w:r>
        <w:t>Visual style: dark or deep-neutral background, restrained accent colors, elegant motion, clean typography, dense but breathable layout.</w:t>
      </w:r>
    </w:p>
    <w:p>
      <w:pPr>
        <w:pStyle w:val="BulletCustom"/>
        <w:spacing w:after="40"/>
      </w:pPr>
      <w:r>
        <w:t>Interaction style: hover for summary, click for evidence, one-click export to memo, persistent filters across pages.</w:t>
      </w:r>
    </w:p>
    <w:p>
      <w:pPr>
        <w:pStyle w:val="BulletCustom"/>
        <w:spacing w:after="40"/>
      </w:pPr>
      <w:r>
        <w:t>What to avoid: giant tables on the landing page, vanity rankings, flashy low-information gauges, undifferentiated feeds, and comparisons without caveats.</w:t>
      </w:r>
    </w:p>
    <w:p>
      <w:pPr>
        <w:pStyle w:val="Heading2"/>
      </w:pPr>
      <w:r>
        <w:t>12. MVP definition</w:t>
      </w:r>
    </w:p>
    <w:p>
      <w:pPr>
        <w:pStyle w:val="BulletCustom"/>
        <w:spacing w:after="40"/>
      </w:pPr>
      <w:r>
        <w:t>MVP front page: Texas Pulse ribbon; Executive Radar ticker; Executive Attention Now; Graph 1; Graph 2; Signals from the Edge; click-through to Texas Operations, Benchmarking &amp; Peer States, and Contracts, Procurements &amp; Revenue.</w:t>
      </w:r>
    </w:p>
    <w:p>
      <w:pPr>
        <w:pStyle w:val="BulletCustom"/>
        <w:spacing w:after="40"/>
      </w:pPr>
      <w:r>
        <w:t>MVP data sources: CMS monthly snapshot; HHSC procurement forecast and opportunities; TMHP notices; Texas quality/network reports; Texas OIG reports.</w:t>
      </w:r>
    </w:p>
    <w:p>
      <w:pPr>
        <w:pStyle w:val="Heading2"/>
      </w:pPr>
      <w:r>
        <w:t>13. Sample front-page content</w:t>
      </w:r>
    </w:p>
    <w:p>
      <w:pPr>
        <w:pStyle w:val="BulletCustom"/>
        <w:spacing w:after="40"/>
      </w:pPr>
      <w:r>
        <w:t>Sample ticker line: 'Texas enrollment +0.3% vs prior month | selected peer median +0.1%'.</w:t>
      </w:r>
    </w:p>
    <w:p>
      <w:pPr>
        <w:pStyle w:val="BulletCustom"/>
        <w:spacing w:after="40"/>
      </w:pPr>
      <w:r>
        <w:t>Sample ticker line: 'MAGI processing timeliness improved 2.4 pts | still trails non-expansion peer median'.</w:t>
      </w:r>
    </w:p>
    <w:p>
      <w:pPr>
        <w:pStyle w:val="BulletCustom"/>
        <w:spacing w:after="40"/>
      </w:pPr>
      <w:r>
        <w:t>Sample insight card: 'Adjacent procurement watch deserves executive visibility'.</w:t>
      </w:r>
    </w:p>
    <w:p>
      <w:pPr>
        <w:pStyle w:val="BulletCustom"/>
        <w:spacing w:after="40"/>
      </w:pPr>
      <w:r>
        <w:t>Sample insight card: 'Network adequacy is a strategic talking point, not just a quality metric'.</w:t>
      </w:r>
    </w:p>
    <w:p>
      <w:pPr>
        <w:pStyle w:val="Heading2"/>
      </w:pPr>
      <w:r>
        <w:t>14. Bottom-line product recommendation</w:t>
      </w:r>
    </w:p>
    <w:p>
      <w:r>
        <w:t>Build the dashboard around Texas operational command, fair peer-state benchmarking, procurement and policy radar, and AI-ranked executive insights. That combination maps best to what the Chief’s publicly inferable role appears to require: a blend of delivery stewardship, commercial vigilance, client confidence management, and future-growth positioning.</w:t>
      </w:r>
    </w:p>
    <w:p>
      <w:pPr>
        <w:pStyle w:val="Heading1"/>
      </w:pPr>
      <w:r>
        <w:t>Appendix. Public source list referenced in the underlying research</w:t>
      </w:r>
    </w:p>
    <w:p>
      <w:pPr>
        <w:pStyle w:val="BodySmall"/>
      </w:pPr>
      <w:r>
        <w:t>The report above was built from the following public sources and source families. The list below is intended as a practical source appendix rather than a formal legal citation apparatus.</w:t>
      </w:r>
    </w:p>
    <w:p>
      <w:pPr>
        <w:pStyle w:val="BodySmall"/>
      </w:pPr>
      <w:r>
        <w:rPr>
          <w:b/>
        </w:rPr>
        <w:t xml:space="preserve">TMHP About page: </w:t>
      </w:r>
      <w:r>
        <w:t>https://www.tmhp.com/about-tmhp</w:t>
      </w:r>
    </w:p>
    <w:p>
      <w:pPr>
        <w:pStyle w:val="BodySmall"/>
      </w:pPr>
      <w:r>
        <w:rPr>
          <w:b/>
        </w:rPr>
        <w:t xml:space="preserve">TMHP BusOps and AMD vendor announcement: </w:t>
      </w:r>
      <w:r>
        <w:t>https://www.tmhp.com/news/2023-09-26-new-texas-medicaid-healthcare-partnership-tmhp-contracts</w:t>
      </w:r>
    </w:p>
    <w:p>
      <w:pPr>
        <w:pStyle w:val="BodySmall"/>
      </w:pPr>
      <w:r>
        <w:rPr>
          <w:b/>
        </w:rPr>
        <w:t xml:space="preserve">TMHP update on claims vendor / Conduent termination: </w:t>
      </w:r>
      <w:r>
        <w:t>https://www.tmhp.com/news/2024-04-05-new-texas-medicaid-healthcare-partnership-contracts-update</w:t>
      </w:r>
    </w:p>
    <w:p>
      <w:pPr>
        <w:pStyle w:val="BodySmall"/>
      </w:pPr>
      <w:r>
        <w:rPr>
          <w:b/>
        </w:rPr>
        <w:t xml:space="preserve">HHSC contract amendment naming Chris Mayfield Account Director: </w:t>
      </w:r>
      <w:r>
        <w:t>https://contracts.hhs.texas.gov/sites/default/files/documents/529-16-0007-00001-amendment-64.pdf</w:t>
      </w:r>
    </w:p>
    <w:p>
      <w:pPr>
        <w:pStyle w:val="BodySmall"/>
      </w:pPr>
      <w:r>
        <w:rPr>
          <w:b/>
        </w:rPr>
        <w:t xml:space="preserve">HHSC older contract amendments naming Terrence J. Westropp: </w:t>
      </w:r>
      <w:r>
        <w:t>https://contracts.hhs.texas.gov/contract/529-16-0007-00001</w:t>
      </w:r>
    </w:p>
    <w:p>
      <w:pPr>
        <w:pStyle w:val="BodySmall"/>
      </w:pPr>
      <w:r>
        <w:rPr>
          <w:b/>
        </w:rPr>
        <w:t xml:space="preserve">Texas State Auditor’s Office report on major contracts: </w:t>
      </w:r>
      <w:r>
        <w:t>https://sao.texas.gov/reports/main/21-021.pdf</w:t>
      </w:r>
    </w:p>
    <w:p>
      <w:pPr>
        <w:pStyle w:val="BodySmall"/>
      </w:pPr>
      <w:r>
        <w:rPr>
          <w:b/>
        </w:rPr>
        <w:t xml:space="preserve">Legislative Budget Board contract-amendment summaries: </w:t>
      </w:r>
      <w:r>
        <w:t>https://www.lbb.texas.gov/Documents/Instructions/Contracts/2025_Q2_10Percent_Amendment_Summary.pdf</w:t>
      </w:r>
    </w:p>
    <w:p>
      <w:pPr>
        <w:pStyle w:val="BodySmall"/>
      </w:pPr>
      <w:r>
        <w:rPr>
          <w:b/>
        </w:rPr>
        <w:t xml:space="preserve">HHSC OIG report identifying Chris Mayfield as Technology Delivery Lead: </w:t>
      </w:r>
      <w:r>
        <w:t>https://oig.hhs.texas.gov/sites/default/files/documents/tmhp-star-kids-screening-final-4-29-21.pdf</w:t>
      </w:r>
    </w:p>
    <w:p>
      <w:pPr>
        <w:pStyle w:val="BodySmall"/>
      </w:pPr>
      <w:r>
        <w:rPr>
          <w:b/>
        </w:rPr>
        <w:t xml:space="preserve">Texas e-Health Alliance board page: </w:t>
      </w:r>
      <w:r>
        <w:t>https://txeha.org/board/</w:t>
      </w:r>
    </w:p>
    <w:p>
      <w:pPr>
        <w:pStyle w:val="BodySmall"/>
      </w:pPr>
      <w:r>
        <w:rPr>
          <w:b/>
        </w:rPr>
        <w:t xml:space="preserve">State HIT Connect listing for Chris Mayfield: </w:t>
      </w:r>
      <w:r>
        <w:t>https://2020statehitconnect.sched.com/list/descriptions</w:t>
      </w:r>
    </w:p>
    <w:p>
      <w:pPr>
        <w:pStyle w:val="BodySmall"/>
      </w:pPr>
      <w:r>
        <w:rPr>
          <w:b/>
        </w:rPr>
        <w:t xml:space="preserve">CMS Medicaid and CHIP Eligibility Operations and Enrollment Snapshot: </w:t>
      </w:r>
      <w:r>
        <w:t>https://www.medicaid.gov/medicaid-and-chip-eligibility-operations-and-enrollment-snapshot</w:t>
      </w:r>
    </w:p>
    <w:p>
      <w:pPr>
        <w:pStyle w:val="BodySmall"/>
      </w:pPr>
      <w:r>
        <w:rPr>
          <w:b/>
        </w:rPr>
        <w:t xml:space="preserve">CMS Medicaid/CHIP enrollment data: </w:t>
      </w:r>
      <w:r>
        <w:t>https://www.medicaid.gov/medicaid/national-medicaid-chip-program-information/medicaid-chip-enrollment-data</w:t>
      </w:r>
    </w:p>
    <w:p>
      <w:pPr>
        <w:pStyle w:val="BodySmall"/>
      </w:pPr>
      <w:r>
        <w:rPr>
          <w:b/>
        </w:rPr>
        <w:t xml:space="preserve">Texas HHSC procurement forecast: </w:t>
      </w:r>
      <w:r>
        <w:t>https://apps.hhs.texas.gov/procurement-calendar/procurement-forecast.pdf</w:t>
      </w:r>
    </w:p>
    <w:p>
      <w:pPr>
        <w:pStyle w:val="BodySmall"/>
      </w:pPr>
      <w:r>
        <w:rPr>
          <w:b/>
        </w:rPr>
        <w:t xml:space="preserve">Texas managed-care quality strategy: </w:t>
      </w:r>
      <w:r>
        <w:t>https://www.hhs.texas.gov/sites/default/files/documents/texas-managed-care-quality-strategy-sept-2024.pdf</w:t>
      </w:r>
    </w:p>
    <w:p>
      <w:pPr>
        <w:pStyle w:val="BodySmall"/>
      </w:pPr>
      <w:r>
        <w:rPr>
          <w:b/>
        </w:rPr>
        <w:t xml:space="preserve">Texas OIG quarterly reporting portal family: </w:t>
      </w:r>
      <w:r>
        <w:t>https://oig.hhs.texas.gov/</w:t>
      </w:r>
    </w:p>
    <w:p>
      <w:pPr>
        <w:pStyle w:val="BodySmall"/>
      </w:pPr>
      <w:r>
        <w:rPr>
          <w:b/>
        </w:rPr>
        <w:t xml:space="preserve">CMS all-state calls portal family: </w:t>
      </w:r>
      <w:r>
        <w:t>https://www.medicaid.gov/resources-for-states/cmcs-medicaid-and-chip-all-state-calls/</w:t>
      </w:r>
    </w:p>
    <w:p>
      <w:pPr>
        <w:pStyle w:val="BodySmall"/>
      </w:pPr>
      <w:r>
        <w:rPr>
          <w:b/>
        </w:rPr>
        <w:t xml:space="preserve">Accenture leadership page: </w:t>
      </w:r>
      <w:r>
        <w:t>https://www.accenture.com/us-en/about/leadership</w:t>
      </w:r>
    </w:p>
    <w:p>
      <w:pPr>
        <w:pStyle w:val="BodySmall"/>
      </w:pPr>
      <w:r>
        <w:rPr>
          <w:b/>
        </w:rPr>
        <w:t xml:space="preserve">Accenture public-service account-role posting family: </w:t>
      </w:r>
      <w:r>
        <w:t>https://www.accenture.com/au-en/careers/jobdetails?id=13759220_en</w:t>
      </w:r>
    </w:p>
    <w:p>
      <w:pPr>
        <w:pStyle w:val="BodySmall"/>
      </w:pPr>
      <w:r>
        <w:rPr>
          <w:b/>
        </w:rPr>
        <w:t xml:space="preserve">Accenture U.S. H&amp;PS leadership page for Marty Rodgers: </w:t>
      </w:r>
      <w:r>
        <w:t>https://www.accenture.com/us-en/about/leadership/marty-rodgers</w:t>
      </w:r>
    </w:p>
    <w:p>
      <w:pPr>
        <w:pStyle w:val="BodySmall"/>
      </w:pPr>
      <w:r>
        <w:rPr>
          <w:b/>
        </w:rPr>
        <w:t xml:space="preserve">Accenture integrated eligibility page: </w:t>
      </w:r>
      <w:r>
        <w:t>https://www.accenture.com/us-en/services/public-service/integrated-eligibility</w:t>
      </w:r>
    </w:p>
    <w:p>
      <w:pPr>
        <w:pStyle w:val="BodySmall"/>
      </w:pPr>
      <w:r>
        <w:rPr>
          <w:b/>
        </w:rPr>
        <w:t xml:space="preserve">Accenture newsroom: CMS client account lead example: </w:t>
      </w:r>
      <w:r>
        <w:t>https://newsroom.accenture.com/news/2023/accenture-federal-services-wins-628m-us-centers-for-medicare-and-medicaid-services-award</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1376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355483"/>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200"/>
    </w:pPr>
    <w:rPr>
      <w:rFonts w:ascii="Aptos Display" w:hAnsi="Aptos Display"/>
      <w:b/>
      <w:color w:val="213760"/>
      <w:sz w:val="48"/>
    </w:rPr>
  </w:style>
  <w:style w:type="paragraph" w:customStyle="1" w:styleId="SubtitleCustom">
    <w:name w:val="SubtitleCustom"/>
    <w:basedOn w:val="Normal"/>
    <w:pPr>
      <w:spacing w:after="360"/>
    </w:pPr>
    <w:rPr>
      <w:rFonts w:ascii="Aptos" w:hAnsi="Aptos"/>
      <w:i/>
      <w:color w:val="5A5A5A"/>
      <w:sz w:val="23"/>
    </w:rPr>
  </w:style>
  <w:style w:type="paragraph" w:customStyle="1" w:styleId="BodySmall">
    <w:name w:val="BodySmall"/>
    <w:basedOn w:val="Normal"/>
    <w:rPr>
      <w:rFonts w:ascii="Aptos" w:hAnsi="Aptos"/>
      <w:color w:val="464646"/>
      <w:sz w:val="19"/>
    </w:rPr>
  </w:style>
  <w:style w:type="paragraph" w:customStyle="1" w:styleId="Callout">
    <w:name w:val="Callout"/>
    <w:basedOn w:val="Normal"/>
    <w:pPr>
      <w:spacing w:before="80" w:after="160"/>
      <w:ind w:left="288" w:right="288"/>
    </w:pPr>
    <w:rPr>
      <w:rFonts w:ascii="Aptos" w:hAnsi="Aptos"/>
      <w:sz w:val="21"/>
    </w:rPr>
  </w:style>
  <w:style w:type="paragraph" w:customStyle="1" w:styleId="BulletCustom">
    <w:name w:val="BulletCustom"/>
    <w:basedOn w:val="ListBullet"/>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