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DELEGADO DE POLÍCIA: 0</w:t>
      </w:r>
      <w:r>
        <w:rPr>
          <w:b/>
          <w:sz w:val="24"/>
          <w:szCs w:val="24"/>
        </w:rPr>
        <w:t>11</w:t>
      </w:r>
      <w:r>
        <w:rPr>
          <w:b/>
          <w:sz w:val="24"/>
          <w:szCs w:val="24"/>
        </w:rPr>
        <w:t>/202</w:t>
      </w:r>
      <w:r>
        <w:rPr>
          <w:b/>
          <w:sz w:val="24"/>
          <w:szCs w:val="24"/>
        </w:rPr>
        <w:t>6</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1"/>
        <w:gridCol w:w="557"/>
        <w:gridCol w:w="554"/>
        <w:gridCol w:w="559"/>
        <w:gridCol w:w="555"/>
        <w:gridCol w:w="554"/>
        <w:gridCol w:w="561"/>
        <w:gridCol w:w="556"/>
        <w:gridCol w:w="554"/>
        <w:gridCol w:w="611"/>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B)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Logo após a criação da Província do Paraná, tornou-se necessária a organização da segurança pública local e a definição de suas lideranças. Quem foi o primeiro Chefe de Polícia nomeado em 20 de outubro de 1853 para atuar na Província do Paraná?</w:t>
      </w:r>
    </w:p>
    <w:p>
      <w:pPr>
        <w:pStyle w:val="normal11"/>
        <w:spacing w:lineRule="auto" w:line="240"/>
        <w:jc w:val="both"/>
        <w:rPr>
          <w:u w:val="none"/>
        </w:rPr>
      </w:pPr>
      <w:r>
        <w:rPr>
          <w:b w:val="false"/>
          <w:bCs w:val="false"/>
          <w:sz w:val="22"/>
          <w:szCs w:val="22"/>
          <w:u w:val="none"/>
        </w:rPr>
        <w:t xml:space="preserve">A) João Gualberto.</w:t>
      </w:r>
    </w:p>
    <w:p>
      <w:pPr>
        <w:pStyle w:val="normal11"/>
        <w:spacing w:lineRule="auto" w:line="240"/>
        <w:jc w:val="both"/>
        <w:rPr>
          <w:u w:val="none"/>
        </w:rPr>
      </w:pPr>
      <w:r>
        <w:rPr>
          <w:b w:val="false"/>
          <w:bCs w:val="false"/>
          <w:sz w:val="22"/>
          <w:szCs w:val="22"/>
          <w:u w:val="none"/>
        </w:rPr>
        <w:t xml:space="preserve">B) Zacarias de Góes e Vasconcelos.</w:t>
      </w:r>
    </w:p>
    <w:p>
      <w:pPr>
        <w:pStyle w:val="normal11"/>
        <w:spacing w:lineRule="auto" w:line="240"/>
        <w:jc w:val="both"/>
        <w:rPr>
          <w:u w:val="none"/>
        </w:rPr>
      </w:pPr>
      <w:r>
        <w:rPr>
          <w:b w:val="false"/>
          <w:bCs w:val="false"/>
          <w:sz w:val="22"/>
          <w:szCs w:val="22"/>
          <w:u w:val="none"/>
        </w:rPr>
        <w:t xml:space="preserve">C) Cândido de Abreu.</w:t>
      </w:r>
    </w:p>
    <w:p>
      <w:pPr>
        <w:pStyle w:val="normal11"/>
        <w:spacing w:lineRule="auto" w:line="240"/>
        <w:jc w:val="both"/>
        <w:rPr>
          <w:u w:val="none"/>
        </w:rPr>
      </w:pPr>
      <w:r>
        <w:rPr>
          <w:b w:val="false"/>
          <w:bCs w:val="false"/>
          <w:sz w:val="22"/>
          <w:szCs w:val="22"/>
          <w:u w:val="none"/>
        </w:rPr>
        <w:t xml:space="preserve">D) Antônio Manoel Fernandes Júnior.</w:t>
      </w:r>
    </w:p>
    <w:p>
      <w:pPr>
        <w:pStyle w:val="normal11"/>
        <w:spacing w:lineRule="auto" w:line="240"/>
        <w:jc w:val="both"/>
        <w:rPr>
          <w:u w:val="none"/>
        </w:rPr>
      </w:pPr>
      <w:r>
        <w:rPr>
          <w:b w:val="false"/>
          <w:bCs w:val="false"/>
          <w:sz w:val="22"/>
          <w:szCs w:val="22"/>
          <w:u w:val="none"/>
        </w:rPr>
        <w:t xml:space="preserve">E) Bento Viana.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pois o toque com cuidado m objetos não altera o seu estado.</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Não exsite vantagem.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18.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20. Com base no material fornecido no curso de formação, o acesso direto a dados de aparelhos telefônicos apreendidos é tema de intensa discussão jurisprudencial no Superior Tribunal de Justiça (STJ). Diante das teses consolidadas pelas Turmas da referida Corte Superior e hipóteses de casos concretos discutidos em sala de aula, assinale a alternativa correta:</w:t>
      </w:r>
    </w:p>
    <w:p>
      <w:pPr>
        <w:pStyle w:val="normal11"/>
        <w:spacing w:lineRule="auto" w:line="240"/>
        <w:jc w:val="both"/>
        <w:rPr>
          <w:u w:val="none"/>
        </w:rPr>
      </w:pPr>
      <w:r>
        <w:rPr>
          <w:b w:val="false"/>
          <w:bCs w:val="false"/>
          <w:sz w:val="22"/>
          <w:szCs w:val="22"/>
          <w:u w:val="none"/>
        </w:rPr>
        <w:t xml:space="preserve">A) O acesso imediato aos dados de aparelho telefônico encontrado ilicitamente no interior de estabelecimento prisional exige prévia autorização judicial de quebra de sigilo, sob pena de nulidade absoluta por violação ao sigilo de correspondência e dados (Art. 5º, XII, CF).</w:t>
      </w:r>
    </w:p>
    <w:p>
      <w:pPr>
        <w:pStyle w:val="normal11"/>
        <w:spacing w:lineRule="auto" w:line="240"/>
        <w:jc w:val="both"/>
        <w:rPr>
          <w:u w:val="none"/>
        </w:rPr>
      </w:pPr>
      <w:r>
        <w:rPr>
          <w:b w:val="false"/>
          <w:bCs w:val="false"/>
          <w:sz w:val="22"/>
          <w:szCs w:val="22"/>
          <w:u w:val="none"/>
        </w:rPr>
        <w:t xml:space="preserve">B) O telefone celular localizado dentro de automóvel abandonado em local de crime é considerado objeto sob proteção de sigilo absoluto, sendo ilegal o acesso policial direto aos seus dados sem ordem judicial, mesmo tratando-se de res derelictae.</w:t>
      </w:r>
    </w:p>
    <w:p>
      <w:pPr>
        <w:pStyle w:val="normal11"/>
        <w:spacing w:lineRule="auto" w:line="240"/>
        <w:jc w:val="both"/>
        <w:rPr>
          <w:u w:val="none"/>
        </w:rPr>
      </w:pPr>
      <w:r>
        <w:rPr>
          <w:b w:val="false"/>
          <w:bCs w:val="false"/>
          <w:sz w:val="22"/>
          <w:szCs w:val="22"/>
          <w:u w:val="none"/>
        </w:rPr>
        <w:t xml:space="preserve">C) Nos termos do entendimento do STJ, admite-se excepcionalmente a validade do acesso incontinenti aos dados de aparelho celular sem autorização judicial prévia nos casos em que a demora na obtenção do mandado puder trazer prejuízos concretos à investigação ou à vítima, como no exemplo de celulares encontrados em cativeiro de extorsão mediante sequestro recém-abandonado.</w:t>
      </w:r>
    </w:p>
    <w:p>
      <w:pPr>
        <w:pStyle w:val="normal11"/>
        <w:spacing w:lineRule="auto" w:line="240"/>
        <w:jc w:val="both"/>
        <w:rPr>
          <w:u w:val="none"/>
        </w:rPr>
      </w:pPr>
      <w:r>
        <w:rPr>
          <w:b w:val="false"/>
          <w:bCs w:val="false"/>
          <w:sz w:val="22"/>
          <w:szCs w:val="22"/>
          <w:u w:val="none"/>
        </w:rPr>
        <w:t xml:space="preserve">D) A consulta aos dados de aparelho celular é considerada nula de pleno direito caso seja autorizada pelo proprietário mediante o fornecimento voluntário da senha de acesso.</w:t>
      </w:r>
    </w:p>
    <w:p>
      <w:pPr>
        <w:pStyle w:val="normal11"/>
        <w:spacing w:lineRule="auto" w:line="240"/>
        <w:jc w:val="both"/>
        <w:rPr>
          <w:u w:val="none"/>
        </w:rPr>
      </w:pPr>
      <w:r>
        <w:rPr>
          <w:b w:val="false"/>
          <w:bCs w:val="false"/>
          <w:sz w:val="22"/>
          <w:szCs w:val="22"/>
          <w:u w:val="none"/>
        </w:rPr>
        <w:t xml:space="preserve">E) Segundo jurisprudência do STJ, em nenhuma hipótese concreta a gravidade em abstrato do crime ou o risco iminente à integridade física da vítima podem relativizar a exigência de prévio mandado judicial para acesso aos dados telemáticos de aparelhos apreendidos.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Com base no material fornecido no curso de formação e conforme abordado em sala de aula, no planejamento da investigação de crimes contra o patrimônio, a ausência de definição do nível de profundidade e de roteirização mínima de diligências básicas pode gerar graves "aspectos práticos da falta de planejamento". No que concerne a esses impactos na esfera processual penal, assinale a alternativa correta:</w:t>
      </w:r>
    </w:p>
    <w:p>
      <w:pPr>
        <w:pStyle w:val="normal11"/>
        <w:spacing w:lineRule="auto" w:line="240"/>
        <w:jc w:val="both"/>
        <w:rPr>
          <w:u w:val="none"/>
        </w:rPr>
      </w:pPr>
      <w:r>
        <w:rPr>
          <w:b w:val="false"/>
          <w:bCs w:val="false"/>
          <w:sz w:val="22"/>
          <w:szCs w:val="22"/>
          <w:u w:val="none"/>
        </w:rPr>
        <w:t xml:space="preserve">A) O declínio de competência é um transtorno processual irrelevante para a investigação policial, uma vez que a Teoria do Juízo Aparente convalida de forma absoluta todos os atos decisórios praticados pela autoridade policial incompetente.</w:t>
      </w:r>
    </w:p>
    <w:p>
      <w:pPr>
        <w:pStyle w:val="normal11"/>
        <w:spacing w:lineRule="auto" w:line="240"/>
        <w:jc w:val="both"/>
        <w:rPr>
          <w:u w:val="none"/>
        </w:rPr>
      </w:pPr>
      <w:r>
        <w:rPr>
          <w:b w:val="false"/>
          <w:bCs w:val="false"/>
          <w:sz w:val="22"/>
          <w:szCs w:val="22"/>
          <w:u w:val="none"/>
        </w:rPr>
        <w:t xml:space="preserve">B) A falta de delimitação estratégica e planejamento prévio pelo Delegado de Polícia afeta apenas a celeridade da investigação, não gerando riscos de nulidades processuais ou revogação de prisões temporárias/preventivas.</w:t>
      </w:r>
    </w:p>
    <w:p>
      <w:pPr>
        <w:pStyle w:val="normal11"/>
        <w:spacing w:lineRule="auto" w:line="240"/>
        <w:jc w:val="both"/>
        <w:rPr>
          <w:u w:val="none"/>
        </w:rPr>
      </w:pPr>
      <w:r>
        <w:rPr>
          <w:b w:val="false"/>
          <w:bCs w:val="false"/>
          <w:sz w:val="22"/>
          <w:szCs w:val="22"/>
          <w:u w:val="none"/>
        </w:rPr>
        <w:t xml:space="preserve">C) O planejamento da investigação policial de crimes patrimoniais deve ser idêntico e padronizado para todas as ocorrências, impossibilitando qualquer adaptação tática do investigador frente ao dinamismo das ações do suspeito.</w:t>
      </w:r>
    </w:p>
    <w:p>
      <w:pPr>
        <w:pStyle w:val="normal11"/>
        <w:spacing w:lineRule="auto" w:line="240"/>
        <w:jc w:val="both"/>
        <w:rPr>
          <w:u w:val="none"/>
        </w:rPr>
      </w:pPr>
      <w:r>
        <w:rPr>
          <w:b w:val="false"/>
          <w:bCs w:val="false"/>
          <w:sz w:val="22"/>
          <w:szCs w:val="22"/>
          <w:u w:val="none"/>
        </w:rPr>
        <w:t xml:space="preserve">D) A ausência de planejamento estratégico pode ensejar transtornos severos na instrução processual, tais como o declínio de competência e brechas processuais geradoras de nulidades.</w:t>
      </w:r>
    </w:p>
    <w:p>
      <w:pPr>
        <w:pStyle w:val="normal11"/>
        <w:spacing w:lineRule="auto" w:line="240"/>
        <w:jc w:val="both"/>
        <w:rPr>
          <w:u w:val="none"/>
        </w:rPr>
      </w:pPr>
      <w:r>
        <w:rPr>
          <w:b w:val="false"/>
          <w:bCs w:val="false"/>
          <w:sz w:val="22"/>
          <w:szCs w:val="22"/>
          <w:u w:val="none"/>
        </w:rPr>
        <w:t xml:space="preserve">E) A Teoria do Juízo Aparente afasta a necessidade de o Delegado de Polícia fundamentar a competência territorial ou material no momento da representação por cautelares, transferindo essa atribuição de forma exclusiva ao Poder Judiciário.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Com base no material fornecido no curso de formação e conforme abordado em sala de aula, no curso de investigações de furtos ou roubos de celulares, as requisições de dados cadastrais destinadas aos diversos provedores de aplicação constituem diligências tecnológicas indispensáveis. Acerca do roteiro proposto e do fluxo lógico de tais requisições, assinale a alternativa correta:</w:t>
      </w:r>
    </w:p>
    <w:p>
      <w:pPr>
        <w:pStyle w:val="normal11"/>
        <w:spacing w:lineRule="auto" w:line="240"/>
        <w:jc w:val="both"/>
        <w:rPr>
          <w:u w:val="none"/>
        </w:rPr>
      </w:pPr>
      <w:r>
        <w:rPr>
          <w:b w:val="false"/>
          <w:bCs w:val="false"/>
          <w:sz w:val="22"/>
          <w:szCs w:val="22"/>
          <w:u w:val="none"/>
        </w:rPr>
        <w:t xml:space="preserve">A) O Instagram fornece diretamente os machine cookies do dispositivo, permitindo identificar o histórico completo de sites visitados pelo investigado sem necessidade de ordem judicial.</w:t>
      </w:r>
    </w:p>
    <w:p>
      <w:pPr>
        <w:pStyle w:val="normal11"/>
        <w:spacing w:lineRule="auto" w:line="240"/>
        <w:jc w:val="both"/>
        <w:rPr>
          <w:u w:val="none"/>
        </w:rPr>
      </w:pPr>
      <w:r>
        <w:rPr>
          <w:b w:val="false"/>
          <w:bCs w:val="false"/>
          <w:sz w:val="22"/>
          <w:szCs w:val="22"/>
          <w:u w:val="none"/>
        </w:rPr>
        <w:t xml:space="preserve">B) No ecossistema Google, o roteiro investigativo inicia-se obrigatoriamente pela quebra de sigilo telemático em nuvem para, somente após isso, mapear as contas de e-mail associadas ao IMEI do aparelho subtraído.</w:t>
      </w:r>
    </w:p>
    <w:p>
      <w:pPr>
        <w:pStyle w:val="normal11"/>
        <w:spacing w:lineRule="auto" w:line="240"/>
        <w:jc w:val="both"/>
        <w:rPr>
          <w:u w:val="none"/>
        </w:rPr>
      </w:pPr>
      <w:r>
        <w:rPr>
          <w:b w:val="false"/>
          <w:bCs w:val="false"/>
          <w:sz w:val="22"/>
          <w:szCs w:val="22"/>
          <w:u w:val="none"/>
        </w:rPr>
        <w:t xml:space="preserve">C) No ecossistema Google, o roteiro compreende a identificação do IMEI para se obter as contas de e-mail vinculadas; das contas de e-mail obtêm-se os dados cadastrais (como data de nascimento, telefone cadastrado e e-mail de recuperação de conta); no ecossistema Apple, por sua vez, a requisição via IMEI possibilita a identificação da conta iCloud, a qual traz inclusive o endereço cadastrado.</w:t>
      </w:r>
    </w:p>
    <w:p>
      <w:pPr>
        <w:pStyle w:val="normal11"/>
        <w:spacing w:lineRule="auto" w:line="240"/>
        <w:jc w:val="both"/>
        <w:rPr>
          <w:u w:val="none"/>
        </w:rPr>
      </w:pPr>
      <w:r>
        <w:rPr>
          <w:b w:val="false"/>
          <w:bCs w:val="false"/>
          <w:sz w:val="22"/>
          <w:szCs w:val="22"/>
          <w:u w:val="none"/>
        </w:rPr>
        <w:t xml:space="preserve">D) Através de requisição extrajudicial, o Delegado de Polícia, pode solicitar, via plataforma Facebook Records, todos os logs de acesso de um determinado perfil.</w:t>
      </w:r>
    </w:p>
    <w:p>
      <w:pPr>
        <w:pStyle w:val="normal11"/>
        <w:spacing w:lineRule="auto" w:line="240"/>
        <w:jc w:val="both"/>
        <w:rPr>
          <w:u w:val="none"/>
        </w:rPr>
      </w:pPr>
      <w:r>
        <w:rPr>
          <w:b w:val="false"/>
          <w:bCs w:val="false"/>
          <w:sz w:val="22"/>
          <w:szCs w:val="22"/>
          <w:u w:val="none"/>
        </w:rPr>
        <w:t xml:space="preserve">E) O pedido de preservação de dados e perfis cadastrais junto à Google e à Apple só possui eficácia jurídica se for processado por via diplomática, sendo vedada a requisição policial direta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23.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24.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As limitações à teoria da prova ilícita por derivação são fundamentais para equilibrar a busca da verdade processualmente válida e as garantias constitucionais. No que tange à Teoria da Descoberta Inevitável abordada no texto, assinale a opção correta:</w:t>
      </w:r>
    </w:p>
    <w:p>
      <w:pPr>
        <w:pStyle w:val="normal11"/>
        <w:spacing w:lineRule="auto" w:line="240"/>
        <w:jc w:val="both"/>
        <w:rPr>
          <w:u w:val="none"/>
        </w:rPr>
      </w:pPr>
      <w:r>
        <w:rPr>
          <w:b w:val="false"/>
          <w:bCs w:val="false"/>
          <w:sz w:val="22"/>
          <w:szCs w:val="22"/>
          <w:u w:val="none"/>
        </w:rPr>
        <w:t xml:space="preserve">A) Determina que qualquer prova obtida a partir de denúncia anônima é inteiramente lícita se o réu confessar em juízo.</w:t>
      </w:r>
    </w:p>
    <w:p>
      <w:pPr>
        <w:pStyle w:val="normal11"/>
        <w:spacing w:lineRule="auto" w:line="240"/>
        <w:jc w:val="both"/>
        <w:rPr>
          <w:u w:val="none"/>
        </w:rPr>
      </w:pPr>
      <w:r>
        <w:rPr>
          <w:b w:val="false"/>
          <w:bCs w:val="false"/>
          <w:sz w:val="22"/>
          <w:szCs w:val="22"/>
          <w:u w:val="none"/>
        </w:rPr>
        <w:t xml:space="preserve">B) Considera válida a prova derivada da ilícita se restar demonstrado que a mesma seria produzida de qualquer modo, independentemente da prova ilícita originária.</w:t>
      </w:r>
    </w:p>
    <w:p>
      <w:pPr>
        <w:pStyle w:val="normal11"/>
        <w:spacing w:lineRule="auto" w:line="240"/>
        <w:jc w:val="both"/>
        <w:rPr>
          <w:u w:val="none"/>
        </w:rPr>
      </w:pPr>
      <w:r>
        <w:rPr>
          <w:b w:val="false"/>
          <w:bCs w:val="false"/>
          <w:sz w:val="22"/>
          <w:szCs w:val="22"/>
          <w:u w:val="none"/>
        </w:rPr>
        <w:t xml:space="preserve">C) Consiste no encontro fortuito ou casual de provas pertinentes a outra infração penal que não estavam na linha de desdobramento da busca.</w:t>
      </w:r>
    </w:p>
    <w:p>
      <w:pPr>
        <w:pStyle w:val="normal11"/>
        <w:spacing w:lineRule="auto" w:line="240"/>
        <w:jc w:val="both"/>
        <w:rPr>
          <w:u w:val="none"/>
        </w:rPr>
      </w:pPr>
      <w:r>
        <w:rPr>
          <w:b w:val="false"/>
          <w:bCs w:val="false"/>
          <w:sz w:val="22"/>
          <w:szCs w:val="22"/>
          <w:u w:val="none"/>
        </w:rPr>
        <w:t xml:space="preserve">D) Permite que conhecimentos particulares do magistrado sirvam como prova no processo mesmo sem registro nos autos.</w:t>
      </w:r>
    </w:p>
    <w:p>
      <w:pPr>
        <w:pStyle w:val="normal11"/>
        <w:spacing w:lineRule="auto" w:line="240"/>
        <w:jc w:val="both"/>
        <w:rPr>
          <w:u w:val="none"/>
        </w:rPr>
      </w:pPr>
      <w:r>
        <w:rPr>
          <w:b w:val="false"/>
          <w:bCs w:val="false"/>
          <w:sz w:val="22"/>
          <w:szCs w:val="22"/>
          <w:u w:val="none"/>
        </w:rPr>
        <w:t xml:space="preserve">E) Exige que voluntários realizem varreduras em todos os casos de crimes de furto qualificado.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Durante o Plantão na Central de Flagrantes é apresentado à autoridade policial um menino de 11 anos e 6 meses surpreendido subtraindo produtos de um estabelecimento comercial. Diante da idade do autor e das diretrizes do Estatuto da Criança e do Adolescente (ECA), qual deve ser a conduta correta do Delegado de Polícia?</w:t>
      </w:r>
    </w:p>
    <w:p>
      <w:pPr>
        <w:pStyle w:val="normal11"/>
        <w:spacing w:lineRule="auto" w:line="240"/>
        <w:jc w:val="both"/>
        <w:rPr>
          <w:u w:val="none"/>
        </w:rPr>
      </w:pPr>
      <w:r>
        <w:rPr>
          <w:b w:val="false"/>
          <w:bCs w:val="false"/>
          <w:sz w:val="22"/>
          <w:szCs w:val="22"/>
          <w:u w:val="none"/>
        </w:rPr>
        <w:t xml:space="preserve">A) Lavrar o Auto de Apreensão em Flagrante de Ato Infracional (AAFAI) e encaminhar o menino diretamente ao CENSE.</w:t>
      </w:r>
    </w:p>
    <w:p>
      <w:pPr>
        <w:pStyle w:val="normal11"/>
        <w:spacing w:lineRule="auto" w:line="240"/>
        <w:jc w:val="both"/>
        <w:rPr>
          <w:u w:val="none"/>
        </w:rPr>
      </w:pPr>
      <w:r>
        <w:rPr>
          <w:b w:val="false"/>
          <w:bCs w:val="false"/>
          <w:sz w:val="22"/>
          <w:szCs w:val="22"/>
          <w:u w:val="none"/>
        </w:rPr>
        <w:t xml:space="preserve">B) Determinar a internação provisória por até 45 dias para garantia da ordem pública.</w:t>
      </w:r>
    </w:p>
    <w:p>
      <w:pPr>
        <w:pStyle w:val="normal11"/>
        <w:spacing w:lineRule="auto" w:line="240"/>
        <w:jc w:val="both"/>
        <w:rPr>
          <w:u w:val="none"/>
        </w:rPr>
      </w:pPr>
      <w:r>
        <w:rPr>
          <w:b w:val="false"/>
          <w:bCs w:val="false"/>
          <w:sz w:val="22"/>
          <w:szCs w:val="22"/>
          <w:u w:val="none"/>
        </w:rPr>
        <w:t xml:space="preserve">C) Acionar o Conselho Tutelar para a aplicação de medidas protetivas, sendo vedada a apreensão policial nos moldes aplicados aos adolescentes.</w:t>
      </w:r>
    </w:p>
    <w:p>
      <w:pPr>
        <w:pStyle w:val="normal11"/>
        <w:spacing w:lineRule="auto" w:line="240"/>
        <w:jc w:val="both"/>
        <w:rPr>
          <w:u w:val="none"/>
        </w:rPr>
      </w:pPr>
      <w:r>
        <w:rPr>
          <w:b w:val="false"/>
          <w:bCs w:val="false"/>
          <w:sz w:val="22"/>
          <w:szCs w:val="22"/>
          <w:u w:val="none"/>
        </w:rPr>
        <w:t xml:space="preserve">D) Lavrar um Boletim de Ocorrência Circunstanciada (BOC) e instaurar medida socioeducativa de prestação de serviços à comunidade para orientar que ele nunca mais tenha esse comportamento.</w:t>
      </w:r>
    </w:p>
    <w:p>
      <w:pPr>
        <w:pStyle w:val="normal11"/>
        <w:spacing w:lineRule="auto" w:line="240"/>
        <w:jc w:val="both"/>
        <w:rPr>
          <w:u w:val="none"/>
        </w:rPr>
      </w:pPr>
      <w:r>
        <w:rPr>
          <w:b w:val="false"/>
          <w:bCs w:val="false"/>
          <w:sz w:val="22"/>
          <w:szCs w:val="22"/>
          <w:u w:val="none"/>
        </w:rPr>
        <w:t xml:space="preserve">E) Encaminhar o caso para a Vara Criminal de adultos, aplicando-se o Código Penal de forma atenuada em razão da 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Um adolescente de 16 anos é conduzido à Delegacia após ser flagrado pela Polícia Militar praticando um roubo mediante o uso de uma faca. Para este cenário, o Delegado de Polícia deve adotar qual peça inaugural de procedimento investigatório/apuratório?</w:t>
      </w:r>
    </w:p>
    <w:p>
      <w:pPr>
        <w:pStyle w:val="normal11"/>
        <w:spacing w:lineRule="auto" w:line="240"/>
        <w:jc w:val="both"/>
        <w:rPr>
          <w:u w:val="none"/>
        </w:rPr>
      </w:pPr>
      <w:r>
        <w:rPr>
          <w:b w:val="false"/>
          <w:bCs w:val="false"/>
          <w:sz w:val="22"/>
          <w:szCs w:val="22"/>
          <w:u w:val="none"/>
        </w:rPr>
        <w:t xml:space="preserve">A) Boletim de Ocorrência Circunstanciada (BOC), pois o adolescente é menor de idade e não pode sofrer restrição de liberdade em flagrante.</w:t>
      </w:r>
    </w:p>
    <w:p>
      <w:pPr>
        <w:pStyle w:val="normal11"/>
        <w:spacing w:lineRule="auto" w:line="240"/>
        <w:jc w:val="both"/>
        <w:rPr>
          <w:u w:val="none"/>
        </w:rPr>
      </w:pPr>
      <w:r>
        <w:rPr>
          <w:b w:val="false"/>
          <w:bCs w:val="false"/>
          <w:sz w:val="22"/>
          <w:szCs w:val="22"/>
          <w:u w:val="none"/>
        </w:rPr>
        <w:t xml:space="preserve">B) Auto de Apreensão em Flagrante de Ato Infracional (AAFAI), obrigatório nos casos de flagrante de ato infracional cometido mediante violência ou grave ameaça à pessoa.</w:t>
      </w:r>
    </w:p>
    <w:p>
      <w:pPr>
        <w:pStyle w:val="normal11"/>
        <w:spacing w:lineRule="auto" w:line="240"/>
        <w:jc w:val="both"/>
        <w:rPr>
          <w:u w:val="none"/>
        </w:rPr>
      </w:pPr>
      <w:r>
        <w:rPr>
          <w:b w:val="false"/>
          <w:bCs w:val="false"/>
          <w:sz w:val="22"/>
          <w:szCs w:val="22"/>
          <w:u w:val="none"/>
        </w:rPr>
        <w:t xml:space="preserve">C) Inquérito Policial tradicional, idêntico ao utilizado para autores maiores de idade.</w:t>
      </w:r>
    </w:p>
    <w:p>
      <w:pPr>
        <w:pStyle w:val="normal11"/>
        <w:spacing w:lineRule="auto" w:line="240"/>
        <w:jc w:val="both"/>
        <w:rPr>
          <w:u w:val="none"/>
        </w:rPr>
      </w:pPr>
      <w:r>
        <w:rPr>
          <w:b w:val="false"/>
          <w:bCs w:val="false"/>
          <w:sz w:val="22"/>
          <w:szCs w:val="22"/>
          <w:u w:val="none"/>
        </w:rPr>
        <w:t xml:space="preserve">D) Termo Circunstanciado de Infração Penal (TCIP), aplicando a Lei nº 9.099/1995 de forma subsidiária.</w:t>
      </w:r>
    </w:p>
    <w:p>
      <w:pPr>
        <w:pStyle w:val="normal11"/>
        <w:spacing w:lineRule="auto" w:line="240"/>
        <w:jc w:val="both"/>
        <w:rPr>
          <w:u w:val="none"/>
        </w:rPr>
      </w:pPr>
      <w:r>
        <w:rPr>
          <w:b w:val="false"/>
          <w:bCs w:val="false"/>
          <w:sz w:val="22"/>
          <w:szCs w:val="22"/>
          <w:u w:val="none"/>
        </w:rPr>
        <w:t xml:space="preserve">E) Relatório de Investigação Direta ao Ministério Público, dispensando a lavratura de qualquer auto flagrancial.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PROCESSO ADMINISTRATIVO DE APURAÇÃO DE RESPONSABILIDADE - PAAR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30. Conforme disposto na Lei Estadual nº 21.352/2023, que versa sobre a organização administrativa básica doPoder Executivo do Estado do Paraná, e no Decreto Estadual nº 8.301/2024, assinale a alternativaCORRETA a respeito da competência e competências dos Secretários de Estado (incluindo o Secretário deEstado da Segurança Pública – SESP):</w:t>
      </w:r>
    </w:p>
    <w:p>
      <w:pPr>
        <w:pStyle w:val="normal11"/>
        <w:spacing w:lineRule="auto" w:line="240"/>
        <w:jc w:val="both"/>
        <w:rPr>
          <w:u w:val="none"/>
        </w:rPr>
      </w:pPr>
      <w:r>
        <w:rPr>
          <w:b w:val="false"/>
          <w:bCs w:val="false"/>
          <w:sz w:val="22"/>
          <w:szCs w:val="22"/>
          <w:u w:val="none"/>
        </w:rPr>
        <w:t xml:space="preserve">A) É vedado ao Secretário de Estado a aplicação de punições disciplinares no âmbito de sua pasta, devendo tal ato ser de competência exclusiva e indelegável do Governador do Estado.</w:t>
      </w:r>
    </w:p>
    <w:p>
      <w:pPr>
        <w:pStyle w:val="normal11"/>
        <w:spacing w:lineRule="auto" w:line="240"/>
        <w:jc w:val="both"/>
        <w:rPr>
          <w:u w:val="none"/>
        </w:rPr>
      </w:pPr>
      <w:r>
        <w:rPr>
          <w:b w:val="false"/>
          <w:bCs w:val="false"/>
          <w:sz w:val="22"/>
          <w:szCs w:val="22"/>
          <w:u w:val="none"/>
        </w:rPr>
        <w:t xml:space="preserve">B) Ao Secretário de Estado compete, entre outras atribuições, determinar a instauração de sindicância e processo administrativo, bem como apreciar, em grau de recurso, quaisquer decisões no âmbito da pasta e das entidades a ela vinculadas.</w:t>
      </w:r>
    </w:p>
    <w:p>
      <w:pPr>
        <w:pStyle w:val="normal11"/>
        <w:spacing w:lineRule="auto" w:line="240"/>
        <w:jc w:val="both"/>
        <w:rPr>
          <w:u w:val="none"/>
        </w:rPr>
      </w:pPr>
      <w:r>
        <w:rPr>
          <w:b w:val="false"/>
          <w:bCs w:val="false"/>
          <w:sz w:val="22"/>
          <w:szCs w:val="22"/>
          <w:u w:val="none"/>
        </w:rPr>
        <w:t xml:space="preserve">C) A Secretaria de Estado da Segurança Pública (SESP) possui personalidade jurídica própria, atuando com total autonomia sem subordinar-se direta ou indiretamente ao Chefe do Poder Executivo.</w:t>
      </w:r>
    </w:p>
    <w:p>
      <w:pPr>
        <w:pStyle w:val="normal11"/>
        <w:spacing w:lineRule="auto" w:line="240"/>
        <w:jc w:val="both"/>
        <w:rPr>
          <w:u w:val="none"/>
        </w:rPr>
      </w:pPr>
      <w:r>
        <w:rPr>
          <w:b w:val="false"/>
          <w:bCs w:val="false"/>
          <w:sz w:val="22"/>
          <w:szCs w:val="22"/>
          <w:u w:val="none"/>
        </w:rPr>
        <w:t xml:space="preserve">D) Os órgãos de assessoramento direto ao Governador possuem hierarquia superior às Secretarias de Estado, impedindo que Secretários apreciem recursos administrativos.</w:t>
      </w:r>
    </w:p>
    <w:p>
      <w:pPr>
        <w:pStyle w:val="normal11"/>
        <w:spacing w:lineRule="auto" w:line="240"/>
        <w:jc w:val="both"/>
        <w:rPr>
          <w:u w:val="none"/>
        </w:rPr>
      </w:pPr>
      <w:r>
        <w:rPr>
          <w:b w:val="false"/>
          <w:bCs w:val="false"/>
          <w:sz w:val="22"/>
          <w:szCs w:val="22"/>
          <w:u w:val="none"/>
        </w:rPr>
        <w:t xml:space="preserve">E) A autorização para abertura ou homologação de processos licitatórios é atribuição privativa e exclusiva do Tribunal de Contas do Estado (TCE/PR), não competindo ao Secretário da pasta.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De acordo com o Decreto Estadual nº 7.304/2021, mencionado no material da disciplina, qual é o sistemaoficial de gestão, emissão e remessa de documentos do Estado do Paraná, no qual os atos administrativose ofícios devem ser assinados eletronicamente pelos Policiais e Gestores?</w:t>
      </w:r>
    </w:p>
    <w:p>
      <w:pPr>
        <w:pStyle w:val="normal11"/>
        <w:spacing w:lineRule="auto" w:line="240"/>
        <w:jc w:val="both"/>
        <w:rPr>
          <w:u w:val="none"/>
        </w:rPr>
      </w:pPr>
      <w:r>
        <w:rPr>
          <w:b w:val="false"/>
          <w:bCs w:val="false"/>
          <w:sz w:val="22"/>
          <w:szCs w:val="22"/>
          <w:u w:val="none"/>
        </w:rPr>
        <w:t xml:space="preserve">A) Sistema de Gestão de Contratos e Compras do Governo Federal (Comprasnet).</w:t>
      </w:r>
    </w:p>
    <w:p>
      <w:pPr>
        <w:pStyle w:val="normal11"/>
        <w:spacing w:lineRule="auto" w:line="240"/>
        <w:jc w:val="both"/>
        <w:rPr>
          <w:u w:val="none"/>
        </w:rPr>
      </w:pPr>
      <w:r>
        <w:rPr>
          <w:b w:val="false"/>
          <w:bCs w:val="false"/>
          <w:sz w:val="22"/>
          <w:szCs w:val="22"/>
          <w:u w:val="none"/>
        </w:rPr>
        <w:t xml:space="preserve">B) Sistema Integrado de Documentos e-Protocolo.</w:t>
      </w:r>
    </w:p>
    <w:p>
      <w:pPr>
        <w:pStyle w:val="normal11"/>
        <w:spacing w:lineRule="auto" w:line="240"/>
        <w:jc w:val="both"/>
        <w:rPr>
          <w:u w:val="none"/>
        </w:rPr>
      </w:pPr>
      <w:r>
        <w:rPr>
          <w:b w:val="false"/>
          <w:bCs w:val="false"/>
          <w:sz w:val="22"/>
          <w:szCs w:val="22"/>
          <w:u w:val="none"/>
        </w:rPr>
        <w:t xml:space="preserve">C) Sistema de Polícia Judiciária Unificada (PJU).</w:t>
      </w:r>
    </w:p>
    <w:p>
      <w:pPr>
        <w:pStyle w:val="normal11"/>
        <w:spacing w:lineRule="auto" w:line="240"/>
        <w:jc w:val="both"/>
        <w:rPr>
          <w:u w:val="none"/>
        </w:rPr>
      </w:pPr>
      <w:r>
        <w:rPr>
          <w:b w:val="false"/>
          <w:bCs w:val="false"/>
          <w:sz w:val="22"/>
          <w:szCs w:val="22"/>
          <w:u w:val="none"/>
        </w:rPr>
        <w:t xml:space="preserve">D) Protocolo Físico em Papel e Arquivo Público Estadual.</w:t>
      </w:r>
    </w:p>
    <w:p>
      <w:pPr>
        <w:pStyle w:val="normal11"/>
        <w:spacing w:lineRule="auto" w:line="240"/>
        <w:jc w:val="both"/>
        <w:rPr>
          <w:u w:val="none"/>
        </w:rPr>
      </w:pPr>
      <w:r>
        <w:rPr>
          <w:b w:val="false"/>
          <w:bCs w:val="false"/>
          <w:sz w:val="22"/>
          <w:szCs w:val="22"/>
          <w:u w:val="none"/>
        </w:rPr>
        <w:t xml:space="preserve">E) Sistema de Correios e Malotes Físicos da PCPR.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32. Alguns autores apresentam a progressão do desenvolvimento do estado paranaense em diferentes ciclos, como se efetivamente existissem “três Paranás”. Assim, teremos:</w:t>
        <w:br/>
        <w:t xml:space="preserve">(1) Paraná Tradicional (2) Paraná do Norte ou Pioneiro (3) Paraná do Sudoeste ou Novíssimo</w:t>
        <w:br/>
        <w:t xml:space="preserve">Associe as regiões do estado descritas na coluna a seguir às suas respectivas características históricas e socioeconômicas:</w:t>
        <w:br/>
        <w:t xml:space="preserve">( ) Região que se desenvolveu através das lavouras de café, com muitos trabalhadores e colonização vinda dos estados de São Paulo e Minas Gerais, a ponto das localidades da região serem parecidas com as dos interiores destes estados.</w:t>
        <w:br/>
        <w:t xml:space="preserve">( ) Região com cidades que surgiram ao longo da rota do tropeirismo, com mão de obra de escravizados africanos e fazendas de criação de gado. A população formada, em geral, tem seu círculo social marcado pelo contato fechado entre familiares e vizinhos.</w:t>
        <w:br/>
        <w:t xml:space="preserve">( ) Colonização ocorrida ao longo do século XX, advinda do ciclo da Madeira, e projetos de povoamento e desenvolvimento da década de 70. A atividade agropecuária predominante é o plantation, e na região tem ocorrido conflitos pela posse da terra. As características da população são semelhantes às da população gaúcha.</w:t>
        <w:br/>
        <w:t xml:space="preserve">A correspondência correta da segunda coluna com os números advindos da primeira é:</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2, 1, 3.</w:t>
      </w:r>
    </w:p>
    <w:p>
      <w:pPr>
        <w:pStyle w:val="normal11"/>
        <w:spacing w:lineRule="auto" w:line="240"/>
        <w:jc w:val="both"/>
        <w:rPr>
          <w:u w:val="none"/>
        </w:rPr>
      </w:pPr>
      <w:r>
        <w:rPr>
          <w:b w:val="false"/>
          <w:bCs w:val="false"/>
          <w:sz w:val="22"/>
          <w:szCs w:val="22"/>
          <w:u w:val="none"/>
        </w:rPr>
        <w:t xml:space="preserve">B) 2, 3, 1.</w:t>
      </w:r>
    </w:p>
    <w:p>
      <w:pPr>
        <w:pStyle w:val="normal11"/>
        <w:spacing w:lineRule="auto" w:line="240"/>
        <w:jc w:val="both"/>
        <w:rPr>
          <w:u w:val="none"/>
        </w:rPr>
      </w:pPr>
      <w:r>
        <w:rPr>
          <w:b w:val="false"/>
          <w:bCs w:val="false"/>
          <w:sz w:val="22"/>
          <w:szCs w:val="22"/>
          <w:u w:val="none"/>
        </w:rPr>
        <w:t xml:space="preserve">C) 1, 2, 3.</w:t>
      </w:r>
    </w:p>
    <w:p>
      <w:pPr>
        <w:pStyle w:val="normal11"/>
        <w:spacing w:lineRule="auto" w:line="240"/>
        <w:jc w:val="both"/>
        <w:rPr>
          <w:u w:val="none"/>
        </w:rPr>
      </w:pPr>
      <w:r>
        <w:rPr>
          <w:b w:val="false"/>
          <w:bCs w:val="false"/>
          <w:sz w:val="22"/>
          <w:szCs w:val="22"/>
          <w:u w:val="none"/>
        </w:rPr>
        <w:t xml:space="preserve">D) 3, 2, 1.</w:t>
      </w:r>
    </w:p>
    <w:p>
      <w:pPr>
        <w:pStyle w:val="normal11"/>
        <w:spacing w:lineRule="auto" w:line="240"/>
        <w:jc w:val="both"/>
        <w:rPr>
          <w:u w:val="none"/>
        </w:rPr>
      </w:pPr>
      <w:r>
        <w:rPr>
          <w:b w:val="false"/>
          <w:bCs w:val="false"/>
          <w:sz w:val="22"/>
          <w:szCs w:val="22"/>
          <w:u w:val="none"/>
        </w:rPr>
        <w:t xml:space="preserve">E) 1, 3, 2.</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Questão 1 — Embriaguez ao volante</w:t>
        <w:br/>
        <w:t xml:space="preserve">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De acordo com as recentes alterações promovidas pela Lei nº 14.994/2024 no Código Penal, qual é a natureza da ação penal no crime de ameaça quando praticado contra a mulher por razões da condição do sexo feminino (artigo 147, § 1º, do Código Penal)?</w:t>
      </w:r>
    </w:p>
    <w:p>
      <w:pPr>
        <w:pStyle w:val="normal11"/>
        <w:spacing w:lineRule="auto" w:line="240"/>
        <w:jc w:val="both"/>
        <w:rPr>
          <w:u w:val="none"/>
        </w:rPr>
      </w:pPr>
      <w:r>
        <w:rPr>
          <w:b w:val="false"/>
          <w:bCs w:val="false"/>
          <w:sz w:val="22"/>
          <w:szCs w:val="22"/>
          <w:u w:val="none"/>
        </w:rPr>
        <w:t xml:space="preserve">A) Pública condicionada à requisição do Ministério Público;</w:t>
      </w:r>
    </w:p>
    <w:p>
      <w:pPr>
        <w:pStyle w:val="normal11"/>
        <w:spacing w:lineRule="auto" w:line="240"/>
        <w:jc w:val="both"/>
        <w:rPr>
          <w:u w:val="none"/>
        </w:rPr>
      </w:pPr>
      <w:r>
        <w:rPr>
          <w:b w:val="false"/>
          <w:bCs w:val="false"/>
          <w:sz w:val="22"/>
          <w:szCs w:val="22"/>
          <w:u w:val="none"/>
        </w:rPr>
        <w:t xml:space="preserve">B) Privada subsidiária da pública;</w:t>
      </w:r>
    </w:p>
    <w:p>
      <w:pPr>
        <w:pStyle w:val="normal11"/>
        <w:spacing w:lineRule="auto" w:line="240"/>
        <w:jc w:val="both"/>
        <w:rPr>
          <w:u w:val="none"/>
        </w:rPr>
      </w:pPr>
      <w:r>
        <w:rPr>
          <w:b w:val="false"/>
          <w:bCs w:val="false"/>
          <w:sz w:val="22"/>
          <w:szCs w:val="22"/>
          <w:u w:val="none"/>
        </w:rPr>
        <w:t xml:space="preserve">C) Pública incondicionada;</w:t>
      </w:r>
    </w:p>
    <w:p>
      <w:pPr>
        <w:pStyle w:val="normal11"/>
        <w:spacing w:lineRule="auto" w:line="240"/>
        <w:jc w:val="both"/>
        <w:rPr>
          <w:u w:val="none"/>
        </w:rPr>
      </w:pPr>
      <w:r>
        <w:rPr>
          <w:b w:val="false"/>
          <w:bCs w:val="false"/>
          <w:sz w:val="22"/>
          <w:szCs w:val="22"/>
          <w:u w:val="none"/>
        </w:rPr>
        <w:t xml:space="preserve">D) Pública condicionada à representação;</w:t>
      </w:r>
    </w:p>
    <w:p>
      <w:pPr>
        <w:pStyle w:val="normal11"/>
        <w:spacing w:lineRule="auto" w:line="240"/>
        <w:jc w:val="both"/>
        <w:rPr>
          <w:u w:val="none"/>
        </w:rPr>
      </w:pPr>
      <w:r>
        <w:rPr>
          <w:b w:val="false"/>
          <w:bCs w:val="false"/>
          <w:sz w:val="22"/>
          <w:szCs w:val="22"/>
          <w:u w:val="none"/>
        </w:rPr>
        <w:t xml:space="preserve">E) Privada, mediante o oferecimento de queixa-crime;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Nos termos do artigo 24-A da Lei nº 11.340/2006 (Lei Maria da Penha), qual é a regra aplicável à concessão de fiança pela autoridade policial em caso de prisão em flagrante pelo delito de descumprimento de decisão judicial que deferiu medidas protetivas de urgência?</w:t>
      </w:r>
    </w:p>
    <w:p>
      <w:pPr>
        <w:pStyle w:val="normal11"/>
        <w:spacing w:lineRule="auto" w:line="240"/>
        <w:jc w:val="both"/>
        <w:rPr>
          <w:u w:val="none"/>
        </w:rPr>
      </w:pPr>
      <w:r>
        <w:rPr>
          <w:b w:val="false"/>
          <w:bCs w:val="false"/>
          <w:sz w:val="22"/>
          <w:szCs w:val="22"/>
          <w:u w:val="none"/>
        </w:rPr>
        <w:t xml:space="preserve">A) Permitida, considerando que a pena máxima atribuída ao delito não ultrapassa o limitador de 04 anos para o arbitramento de fiança na esfera policial;</w:t>
      </w:r>
    </w:p>
    <w:p>
      <w:pPr>
        <w:pStyle w:val="normal11"/>
        <w:spacing w:lineRule="auto" w:line="240"/>
        <w:jc w:val="both"/>
        <w:rPr>
          <w:u w:val="none"/>
        </w:rPr>
      </w:pPr>
      <w:r>
        <w:rPr>
          <w:b w:val="false"/>
          <w:bCs w:val="false"/>
          <w:sz w:val="22"/>
          <w:szCs w:val="22"/>
          <w:u w:val="none"/>
        </w:rPr>
        <w:t xml:space="preserve">B) Vedada à autoridade policial, em razão de expressa previsão legal;</w:t>
      </w:r>
    </w:p>
    <w:p>
      <w:pPr>
        <w:pStyle w:val="normal11"/>
        <w:spacing w:lineRule="auto" w:line="240"/>
        <w:jc w:val="both"/>
        <w:rPr>
          <w:u w:val="none"/>
        </w:rPr>
      </w:pPr>
      <w:r>
        <w:rPr>
          <w:b w:val="false"/>
          <w:bCs w:val="false"/>
          <w:sz w:val="22"/>
          <w:szCs w:val="22"/>
          <w:u w:val="none"/>
        </w:rPr>
        <w:t xml:space="preserve">C) Vedada a qualquer autoridade por se tratar de delito inafiançável;</w:t>
      </w:r>
    </w:p>
    <w:p>
      <w:pPr>
        <w:pStyle w:val="normal11"/>
        <w:spacing w:lineRule="auto" w:line="240"/>
        <w:jc w:val="both"/>
        <w:rPr>
          <w:u w:val="none"/>
        </w:rPr>
      </w:pPr>
      <w:r>
        <w:rPr>
          <w:b w:val="false"/>
          <w:bCs w:val="false"/>
          <w:sz w:val="22"/>
          <w:szCs w:val="22"/>
          <w:u w:val="none"/>
        </w:rPr>
        <w:t xml:space="preserve">D) Permitida apenas se o agressor for primário e sem antecedentes criminais;</w:t>
      </w:r>
    </w:p>
    <w:p>
      <w:pPr>
        <w:pStyle w:val="normal11"/>
        <w:spacing w:lineRule="auto" w:line="240"/>
        <w:jc w:val="both"/>
        <w:rPr>
          <w:u w:val="none"/>
        </w:rPr>
      </w:pPr>
      <w:r>
        <w:rPr>
          <w:b w:val="false"/>
          <w:bCs w:val="false"/>
          <w:sz w:val="22"/>
          <w:szCs w:val="22"/>
          <w:u w:val="none"/>
        </w:rPr>
        <w:t xml:space="preserve">E) Permitida mediante estipulação de valor a partir de um salário mínimo;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De acordo com as diretrizes do Manual de Procedimentos de Polícia Judiciária para o atendimento a vítimas de violência sexual, qual deve ser a conduta prioritária da equipe policial quando o fato tiver ocorrido há menos de 72 horas?</w:t>
      </w:r>
    </w:p>
    <w:p>
      <w:pPr>
        <w:pStyle w:val="normal11"/>
        <w:spacing w:lineRule="auto" w:line="240"/>
        <w:jc w:val="both"/>
        <w:rPr>
          <w:u w:val="none"/>
        </w:rPr>
      </w:pPr>
      <w:r>
        <w:rPr>
          <w:b w:val="false"/>
          <w:bCs w:val="false"/>
          <w:sz w:val="22"/>
          <w:szCs w:val="22"/>
          <w:u w:val="none"/>
        </w:rPr>
        <w:t xml:space="preserve">A) Agendar o atendimento hospitalar comum após a conclusão do flagrante ou do inquérito policial;</w:t>
      </w:r>
    </w:p>
    <w:p>
      <w:pPr>
        <w:pStyle w:val="normal11"/>
        <w:spacing w:lineRule="auto" w:line="240"/>
        <w:jc w:val="both"/>
        <w:rPr>
          <w:u w:val="none"/>
        </w:rPr>
      </w:pPr>
      <w:r>
        <w:rPr>
          <w:b w:val="false"/>
          <w:bCs w:val="false"/>
          <w:sz w:val="22"/>
          <w:szCs w:val="22"/>
          <w:u w:val="none"/>
        </w:rPr>
        <w:t xml:space="preserve">B) Colher os depoimentos de todas as testemunhas e coletar todas as provas antes do encaminhamento da vítima para exame pericial;</w:t>
      </w:r>
    </w:p>
    <w:p>
      <w:pPr>
        <w:pStyle w:val="normal11"/>
        <w:spacing w:lineRule="auto" w:line="240"/>
        <w:jc w:val="both"/>
        <w:rPr>
          <w:u w:val="none"/>
        </w:rPr>
      </w:pPr>
      <w:r>
        <w:rPr>
          <w:b w:val="false"/>
          <w:bCs w:val="false"/>
          <w:sz w:val="22"/>
          <w:szCs w:val="22"/>
          <w:u w:val="none"/>
        </w:rPr>
        <w:t xml:space="preserve">C) Encaminhar a vítima prioritariamente ao hospital de referência de saúde.</w:t>
      </w:r>
    </w:p>
    <w:p>
      <w:pPr>
        <w:pStyle w:val="normal11"/>
        <w:spacing w:lineRule="auto" w:line="240"/>
        <w:jc w:val="both"/>
        <w:rPr>
          <w:u w:val="none"/>
        </w:rPr>
      </w:pPr>
      <w:r>
        <w:rPr>
          <w:b w:val="false"/>
          <w:bCs w:val="false"/>
          <w:sz w:val="22"/>
          <w:szCs w:val="22"/>
          <w:u w:val="none"/>
        </w:rPr>
        <w:t xml:space="preserve">D) Encaminhar a vítima imediatamente à sede do Serviço Médico Legal;</w:t>
      </w:r>
    </w:p>
    <w:p>
      <w:pPr>
        <w:pStyle w:val="normal11"/>
        <w:spacing w:lineRule="auto" w:line="240"/>
        <w:jc w:val="both"/>
        <w:rPr>
          <w:u w:val="none"/>
        </w:rPr>
      </w:pPr>
      <w:r>
        <w:rPr>
          <w:b w:val="false"/>
          <w:bCs w:val="false"/>
          <w:sz w:val="22"/>
          <w:szCs w:val="22"/>
          <w:u w:val="none"/>
        </w:rPr>
        <w:t xml:space="preserve">E) Aguardar o decurso de 72 horas, para então encaminhar a vítima ao Serviço Médico 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Ao assumir a chefia de uma unidade policial, qual documento oficial é de elaboração obrigatória para formalizar a passagem de gestão e mapear o acervo patrimonial da delegacia?</w:t>
      </w:r>
    </w:p>
    <w:p>
      <w:pPr>
        <w:pStyle w:val="normal11"/>
        <w:spacing w:lineRule="auto" w:line="240"/>
        <w:jc w:val="both"/>
        <w:rPr>
          <w:u w:val="none"/>
        </w:rPr>
      </w:pPr>
      <w:r>
        <w:rPr>
          <w:b w:val="false"/>
          <w:bCs w:val="false"/>
          <w:sz w:val="22"/>
          <w:szCs w:val="22"/>
          <w:u w:val="none"/>
        </w:rPr>
        <w:t xml:space="preserve">A) Livro de Registro de Posse.</w:t>
      </w:r>
    </w:p>
    <w:p>
      <w:pPr>
        <w:pStyle w:val="normal11"/>
        <w:spacing w:lineRule="auto" w:line="240"/>
        <w:jc w:val="both"/>
        <w:rPr>
          <w:u w:val="none"/>
        </w:rPr>
      </w:pPr>
      <w:r>
        <w:rPr>
          <w:b w:val="false"/>
          <w:bCs w:val="false"/>
          <w:sz w:val="22"/>
          <w:szCs w:val="22"/>
          <w:u w:val="none"/>
        </w:rPr>
        <w:t xml:space="preserve">B) Termo de Acautelamento.</w:t>
      </w:r>
    </w:p>
    <w:p>
      <w:pPr>
        <w:pStyle w:val="normal11"/>
        <w:spacing w:lineRule="auto" w:line="240"/>
        <w:jc w:val="both"/>
        <w:rPr>
          <w:u w:val="none"/>
        </w:rPr>
      </w:pPr>
      <w:r>
        <w:rPr>
          <w:b w:val="false"/>
          <w:bCs w:val="false"/>
          <w:sz w:val="22"/>
          <w:szCs w:val="22"/>
          <w:u w:val="none"/>
        </w:rPr>
        <w:t xml:space="preserve">C) Termo de Transmissão de Gestão.</w:t>
      </w:r>
    </w:p>
    <w:p>
      <w:pPr>
        <w:pStyle w:val="normal11"/>
        <w:spacing w:lineRule="auto" w:line="240"/>
        <w:jc w:val="both"/>
        <w:rPr>
          <w:u w:val="none"/>
        </w:rPr>
      </w:pPr>
      <w:r>
        <w:rPr>
          <w:b w:val="false"/>
          <w:bCs w:val="false"/>
          <w:sz w:val="22"/>
          <w:szCs w:val="22"/>
          <w:u w:val="none"/>
        </w:rPr>
        <w:t xml:space="preserve">D) Relatório do Fundo Rotativo.</w:t>
      </w:r>
    </w:p>
    <w:p>
      <w:pPr>
        <w:pStyle w:val="normal11"/>
        <w:spacing w:lineRule="auto" w:line="240"/>
        <w:jc w:val="both"/>
        <w:rPr>
          <w:u w:val="none"/>
        </w:rPr>
      </w:pPr>
      <w:r>
        <w:rPr>
          <w:b w:val="false"/>
          <w:bCs w:val="false"/>
          <w:sz w:val="22"/>
          <w:szCs w:val="22"/>
          <w:u w:val="none"/>
        </w:rPr>
        <w:t xml:space="preserve">E) Termo de Posse.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No atendimento ao público em uma delegacia de polícia, qual deve ser a postura inicial da equipe ao receber um cidadão fragilizado por um crime?</w:t>
      </w:r>
    </w:p>
    <w:p>
      <w:pPr>
        <w:pStyle w:val="normal11"/>
        <w:spacing w:lineRule="auto" w:line="240"/>
        <w:jc w:val="both"/>
        <w:rPr>
          <w:u w:val="none"/>
        </w:rPr>
      </w:pPr>
      <w:r>
        <w:rPr>
          <w:b w:val="false"/>
          <w:bCs w:val="false"/>
          <w:sz w:val="22"/>
          <w:szCs w:val="22"/>
          <w:u w:val="none"/>
        </w:rPr>
        <w:t xml:space="preserve">A) Exigir que o cidadão relate o fato em voz alta na recepção.</w:t>
      </w:r>
    </w:p>
    <w:p>
      <w:pPr>
        <w:pStyle w:val="normal11"/>
        <w:spacing w:lineRule="auto" w:line="240"/>
        <w:jc w:val="both"/>
        <w:rPr>
          <w:u w:val="none"/>
        </w:rPr>
      </w:pPr>
      <w:r>
        <w:rPr>
          <w:b w:val="false"/>
          <w:bCs w:val="false"/>
          <w:sz w:val="22"/>
          <w:szCs w:val="22"/>
          <w:u w:val="none"/>
        </w:rPr>
        <w:t xml:space="preserve">B) Oferecer escuta qualificada, urbanidade, empatia e ambiente reservado.</w:t>
      </w:r>
    </w:p>
    <w:p>
      <w:pPr>
        <w:pStyle w:val="normal11"/>
        <w:spacing w:lineRule="auto" w:line="240"/>
        <w:jc w:val="both"/>
        <w:rPr>
          <w:u w:val="none"/>
        </w:rPr>
      </w:pPr>
      <w:r>
        <w:rPr>
          <w:b w:val="false"/>
          <w:bCs w:val="false"/>
          <w:sz w:val="22"/>
          <w:szCs w:val="22"/>
          <w:u w:val="none"/>
        </w:rPr>
        <w:t xml:space="preserve">C) Orientar o cidadão a retornar apenas se tiver provas concretas.</w:t>
      </w:r>
    </w:p>
    <w:p>
      <w:pPr>
        <w:pStyle w:val="normal11"/>
        <w:spacing w:lineRule="auto" w:line="240"/>
        <w:jc w:val="both"/>
        <w:rPr>
          <w:u w:val="none"/>
        </w:rPr>
      </w:pPr>
      <w:r>
        <w:rPr>
          <w:b w:val="false"/>
          <w:bCs w:val="false"/>
          <w:sz w:val="22"/>
          <w:szCs w:val="22"/>
          <w:u w:val="none"/>
        </w:rPr>
        <w:t xml:space="preserve">D) Encaminhá-lo imediatamente para outra delegacia sem ouvir o relato.</w:t>
      </w:r>
    </w:p>
    <w:p>
      <w:pPr>
        <w:pStyle w:val="normal11"/>
        <w:spacing w:lineRule="auto" w:line="240"/>
        <w:jc w:val="both"/>
        <w:rPr>
          <w:u w:val="none"/>
        </w:rPr>
      </w:pPr>
      <w:r>
        <w:rPr>
          <w:b w:val="false"/>
          <w:bCs w:val="false"/>
          <w:sz w:val="22"/>
          <w:szCs w:val="22"/>
          <w:u w:val="none"/>
        </w:rPr>
        <w:t xml:space="preserve">E) Orientá-lo a retornar após o período do almoço se chegar próximo das 12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A prática conhecida como "chute de ocorrência" (recusar o registro de BO sob alegação de competência territorial de outra unidade) é considerada:</w:t>
      </w:r>
    </w:p>
    <w:p>
      <w:pPr>
        <w:pStyle w:val="normal11"/>
        <w:spacing w:lineRule="auto" w:line="240"/>
        <w:jc w:val="both"/>
        <w:rPr>
          <w:u w:val="none"/>
        </w:rPr>
      </w:pPr>
      <w:r>
        <w:rPr>
          <w:b w:val="false"/>
          <w:bCs w:val="false"/>
          <w:sz w:val="22"/>
          <w:szCs w:val="22"/>
          <w:u w:val="none"/>
        </w:rPr>
        <w:t xml:space="preserve">A) Uma boa prática de gestão para reduzir a carga de trabalho.</w:t>
      </w:r>
    </w:p>
    <w:p>
      <w:pPr>
        <w:pStyle w:val="normal11"/>
        <w:spacing w:lineRule="auto" w:line="240"/>
        <w:jc w:val="both"/>
        <w:rPr>
          <w:u w:val="none"/>
        </w:rPr>
      </w:pPr>
      <w:r>
        <w:rPr>
          <w:b w:val="false"/>
          <w:bCs w:val="false"/>
          <w:sz w:val="22"/>
          <w:szCs w:val="22"/>
          <w:u w:val="none"/>
        </w:rPr>
        <w:t xml:space="preserve">B) Uma norma obrigatória do Código de Processo Penal.</w:t>
      </w:r>
    </w:p>
    <w:p>
      <w:pPr>
        <w:pStyle w:val="normal11"/>
        <w:spacing w:lineRule="auto" w:line="240"/>
        <w:jc w:val="both"/>
        <w:rPr>
          <w:u w:val="none"/>
        </w:rPr>
      </w:pPr>
      <w:r>
        <w:rPr>
          <w:b w:val="false"/>
          <w:bCs w:val="false"/>
          <w:sz w:val="22"/>
          <w:szCs w:val="22"/>
          <w:u w:val="none"/>
        </w:rPr>
        <w:t xml:space="preserve">C) Uma atitudo correta diante do Código Disciplinar da Polícia Civil do Paraná.</w:t>
      </w:r>
    </w:p>
    <w:p>
      <w:pPr>
        <w:pStyle w:val="normal11"/>
        <w:spacing w:lineRule="auto" w:line="240"/>
        <w:jc w:val="both"/>
        <w:rPr>
          <w:u w:val="none"/>
        </w:rPr>
      </w:pPr>
      <w:r>
        <w:rPr>
          <w:b w:val="false"/>
          <w:bCs w:val="false"/>
          <w:sz w:val="22"/>
          <w:szCs w:val="22"/>
          <w:u w:val="none"/>
        </w:rPr>
        <w:t xml:space="preserve">D) Uma conduta vedada, devendo a unidade atender, registrar e encaminhar o BOU eletronicamente.</w:t>
      </w:r>
    </w:p>
    <w:p>
      <w:pPr>
        <w:pStyle w:val="normal11"/>
        <w:spacing w:lineRule="auto" w:line="240"/>
        <w:jc w:val="both"/>
        <w:rPr>
          <w:u w:val="none"/>
        </w:rPr>
      </w:pPr>
      <w:r>
        <w:rPr>
          <w:b w:val="false"/>
          <w:bCs w:val="false"/>
          <w:sz w:val="22"/>
          <w:szCs w:val="22"/>
          <w:u w:val="none"/>
        </w:rPr>
        <w:t xml:space="preserve">E) Um procedimento padrão para infrações de menor potencial ofensivo.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Para garantir a privacidade e evitar a revitimização no atendimento a pessoas em situação de vulnerabilidade, o ambiente ideal na delegacia é:</w:t>
      </w:r>
    </w:p>
    <w:p>
      <w:pPr>
        <w:pStyle w:val="normal11"/>
        <w:spacing w:lineRule="auto" w:line="240"/>
        <w:jc w:val="both"/>
        <w:rPr>
          <w:u w:val="none"/>
        </w:rPr>
      </w:pPr>
      <w:r>
        <w:rPr>
          <w:b w:val="false"/>
          <w:bCs w:val="false"/>
          <w:sz w:val="22"/>
          <w:szCs w:val="22"/>
          <w:u w:val="none"/>
        </w:rPr>
        <w:t xml:space="preserve">A) Uma sala reservada de atendimento e acolhimento.</w:t>
      </w:r>
    </w:p>
    <w:p>
      <w:pPr>
        <w:pStyle w:val="normal11"/>
        <w:spacing w:lineRule="auto" w:line="240"/>
        <w:jc w:val="both"/>
        <w:rPr>
          <w:u w:val="none"/>
        </w:rPr>
      </w:pPr>
      <w:r>
        <w:rPr>
          <w:b w:val="false"/>
          <w:bCs w:val="false"/>
          <w:sz w:val="22"/>
          <w:szCs w:val="22"/>
          <w:u w:val="none"/>
        </w:rPr>
        <w:t xml:space="preserve">B) O balcão principal de atendimento no saguão de entrada.</w:t>
      </w:r>
    </w:p>
    <w:p>
      <w:pPr>
        <w:pStyle w:val="normal11"/>
        <w:spacing w:lineRule="auto" w:line="240"/>
        <w:jc w:val="both"/>
        <w:rPr>
          <w:u w:val="none"/>
        </w:rPr>
      </w:pPr>
      <w:r>
        <w:rPr>
          <w:b w:val="false"/>
          <w:bCs w:val="false"/>
          <w:sz w:val="22"/>
          <w:szCs w:val="22"/>
          <w:u w:val="none"/>
        </w:rPr>
        <w:t xml:space="preserve">C) O corredor de acesso à carceragem.</w:t>
      </w:r>
    </w:p>
    <w:p>
      <w:pPr>
        <w:pStyle w:val="normal11"/>
        <w:spacing w:lineRule="auto" w:line="240"/>
        <w:jc w:val="both"/>
        <w:rPr>
          <w:u w:val="none"/>
        </w:rPr>
      </w:pPr>
      <w:r>
        <w:rPr>
          <w:b w:val="false"/>
          <w:bCs w:val="false"/>
          <w:sz w:val="22"/>
          <w:szCs w:val="22"/>
          <w:u w:val="none"/>
        </w:rPr>
        <w:t xml:space="preserve">D) A sala do setor de investigações junto com demais servidores.</w:t>
      </w:r>
    </w:p>
    <w:p>
      <w:pPr>
        <w:pStyle w:val="normal11"/>
        <w:spacing w:lineRule="auto" w:line="240"/>
        <w:jc w:val="both"/>
        <w:rPr>
          <w:u w:val="none"/>
        </w:rPr>
      </w:pPr>
      <w:r>
        <w:rPr>
          <w:b w:val="false"/>
          <w:bCs w:val="false"/>
          <w:sz w:val="22"/>
          <w:szCs w:val="22"/>
          <w:u w:val="none"/>
        </w:rPr>
        <w:t xml:space="preserve">E) Do lado de fora, visando garantir que ninguém ouça a conversa.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Em 10 de dezembro de 2018 foi publicado o Decreto federal nº 9.603, que regulamenta a Lei nº 13.431, de 4 de abril de 2017, estabelecendo detalhamentos sobre a regulamentação do sistema de garantia de direitos da criança e do adolescente vítima ou testemunha de violência. Considerando as diretrizes legais e regulamentares relativas à realização do depoimento especial e da escuta especializada enumeradas abaixo, assinale a alternativa correta a seguir:  I - Considera-se violência institucional, aquela praticada por instituição pública ou conveniada, inclusive quando gerar revitimização, entendida esta última como discurso ou prática institucional que submeta crianças e adolescentes a procedimentos desnecessários, repetitivos, invasivos, que levem as vítimas ou testemunhas a reviver a situação de violência ou outras situações que gerem sofrimento, estigmatização ou exposição de sua imagem;II - O depoimento especial deverá primar pela não revitimização e pelos limites etários e psicológicos de desenvolvimento da criança ou do adolescente;III - A autoridade policial deverá avaliar se é indispensável a oitiva da criança ou do adolescente, consideradas as demais provas existentes, de forma a preservar sua saúde física e mental e seu desenvolvimento moral, intelectual e social, não sendo facultado à criança ou ao adolescente sua iniciativa de falar ou não sobre a violência sofrida;IV - O depoimento especial deverá ser conduzido por autoridades capacitadas, realizado em ambiente adequado ao desenvolvimento da criança ou do adolescente,  registrando-se integralmente a oitiva da criança ou do adolescente, e em casos de problemas técnicos impeditivos ou de bloqueios emocionais que impeçam a conclusão da oitiva, ela deverá ser reagendada, respeitadas as particularidades da criança ou do adolescente.</w:t>
      </w:r>
    </w:p>
    <w:p>
      <w:pPr>
        <w:pStyle w:val="normal11"/>
        <w:spacing w:lineRule="auto" w:line="240"/>
        <w:jc w:val="both"/>
        <w:rPr>
          <w:u w:val="none"/>
        </w:rPr>
      </w:pPr>
      <w:r>
        <w:rPr>
          <w:b w:val="false"/>
          <w:bCs w:val="false"/>
          <w:sz w:val="22"/>
          <w:szCs w:val="22"/>
          <w:u w:val="none"/>
        </w:rPr>
        <w:t xml:space="preserve">A) Apenas I e IV estão corretas.</w:t>
      </w:r>
    </w:p>
    <w:p>
      <w:pPr>
        <w:pStyle w:val="normal11"/>
        <w:spacing w:lineRule="auto" w:line="240"/>
        <w:jc w:val="both"/>
        <w:rPr>
          <w:u w:val="none"/>
        </w:rPr>
      </w:pPr>
      <w:r>
        <w:rPr>
          <w:b w:val="false"/>
          <w:bCs w:val="false"/>
          <w:sz w:val="22"/>
          <w:szCs w:val="22"/>
          <w:u w:val="none"/>
        </w:rPr>
        <w:t xml:space="preserve">B) Apenas I, II e IV estão corretas.</w:t>
      </w:r>
    </w:p>
    <w:p>
      <w:pPr>
        <w:pStyle w:val="normal11"/>
        <w:spacing w:lineRule="auto" w:line="240"/>
        <w:jc w:val="both"/>
        <w:rPr>
          <w:u w:val="none"/>
        </w:rPr>
      </w:pPr>
      <w:r>
        <w:rPr>
          <w:b w:val="false"/>
          <w:bCs w:val="false"/>
          <w:sz w:val="22"/>
          <w:szCs w:val="22"/>
          <w:u w:val="none"/>
        </w:rPr>
        <w:t xml:space="preserve">C) Apenas II, III e IV estão corretas.</w:t>
      </w:r>
    </w:p>
    <w:p>
      <w:pPr>
        <w:pStyle w:val="normal11"/>
        <w:spacing w:lineRule="auto" w:line="240"/>
        <w:jc w:val="both"/>
        <w:rPr>
          <w:u w:val="none"/>
        </w:rPr>
      </w:pPr>
      <w:r>
        <w:rPr>
          <w:b w:val="false"/>
          <w:bCs w:val="false"/>
          <w:sz w:val="22"/>
          <w:szCs w:val="22"/>
          <w:u w:val="none"/>
        </w:rPr>
        <w:t xml:space="preserve">D) É correto o que se afirma nos itens I, II, III e IV.</w:t>
      </w:r>
    </w:p>
    <w:p>
      <w:pPr>
        <w:pStyle w:val="normal11"/>
        <w:spacing w:lineRule="auto" w:line="240"/>
        <w:jc w:val="both"/>
        <w:rPr>
          <w:u w:val="none"/>
        </w:rPr>
      </w:pPr>
      <w:r>
        <w:rPr>
          <w:b w:val="false"/>
          <w:bCs w:val="false"/>
          <w:sz w:val="22"/>
          <w:szCs w:val="22"/>
          <w:u w:val="none"/>
        </w:rPr>
        <w:t xml:space="preserve">E) Apenas I e II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Incidentes envolvendo exposição de dados podem decorrer tanto de vulnerabilidades técnicas quanto de falhas humanas.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âmbito da Verificação de Procedência da Informação (VPI/BOA), procedimento investigativo preliminar de polícia judiciária, a atividade cartorária é simplificada e serve como filtro para evitar a movimentação desnecessária da máquina estatal. De acordo com as diretrizes do manual, uma peça cartorária específica está expressamente excluída do esqueleto do BOA/VPI, devendo sua realização ocorrer apenas após a instauração do Inquérito Policial propriamente dito. Qual é essa peça?</w:t>
      </w:r>
    </w:p>
    <w:p>
      <w:pPr>
        <w:pStyle w:val="normal11"/>
        <w:spacing w:lineRule="auto" w:line="240"/>
        <w:jc w:val="both"/>
        <w:rPr>
          <w:u w:val="none"/>
        </w:rPr>
      </w:pPr>
      <w:r>
        <w:rPr>
          <w:b w:val="false"/>
          <w:bCs w:val="false"/>
          <w:sz w:val="22"/>
          <w:szCs w:val="22"/>
          <w:u w:val="none"/>
        </w:rPr>
        <w:t xml:space="preserve">A) Relatório de Diligências Preliminares.</w:t>
      </w:r>
    </w:p>
    <w:p>
      <w:pPr>
        <w:pStyle w:val="normal11"/>
        <w:spacing w:lineRule="auto" w:line="240"/>
        <w:jc w:val="both"/>
        <w:rPr>
          <w:u w:val="none"/>
        </w:rPr>
      </w:pPr>
      <w:r>
        <w:rPr>
          <w:b w:val="false"/>
          <w:bCs w:val="false"/>
          <w:sz w:val="22"/>
          <w:szCs w:val="22"/>
          <w:u w:val="none"/>
        </w:rPr>
        <w:t xml:space="preserve">B) Despacho Conclusivo da Autoridade Policial.</w:t>
      </w:r>
    </w:p>
    <w:p>
      <w:pPr>
        <w:pStyle w:val="normal11"/>
        <w:spacing w:lineRule="auto" w:line="240"/>
        <w:jc w:val="both"/>
        <w:rPr>
          <w:u w:val="none"/>
        </w:rPr>
      </w:pPr>
      <w:r>
        <w:rPr>
          <w:b w:val="false"/>
          <w:bCs w:val="false"/>
          <w:sz w:val="22"/>
          <w:szCs w:val="22"/>
          <w:u w:val="none"/>
        </w:rPr>
        <w:t xml:space="preserve">C) Termo de Interrogatório do Investigado.</w:t>
      </w:r>
    </w:p>
    <w:p>
      <w:pPr>
        <w:pStyle w:val="normal11"/>
        <w:spacing w:lineRule="auto" w:line="240"/>
        <w:jc w:val="both"/>
        <w:rPr>
          <w:u w:val="none"/>
        </w:rPr>
      </w:pPr>
      <w:r>
        <w:rPr>
          <w:b w:val="false"/>
          <w:bCs w:val="false"/>
          <w:sz w:val="22"/>
          <w:szCs w:val="22"/>
          <w:u w:val="none"/>
        </w:rPr>
        <w:t xml:space="preserve">D) Boletim de Ocorrência (BO) inaugural.</w:t>
      </w:r>
    </w:p>
    <w:p>
      <w:pPr>
        <w:pStyle w:val="normal11"/>
        <w:spacing w:lineRule="auto" w:line="240"/>
        <w:jc w:val="both"/>
        <w:rPr>
          <w:u w:val="none"/>
        </w:rPr>
      </w:pPr>
      <w:r>
        <w:rPr>
          <w:b w:val="false"/>
          <w:bCs w:val="false"/>
          <w:sz w:val="22"/>
          <w:szCs w:val="22"/>
          <w:u w:val="none"/>
        </w:rPr>
        <w:t xml:space="preserve">E) Despacho de Instauração de VPI/BOA.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O Boletim em Análise (BOA) / Verificação de Procedência da Informação (VPI) constitui importante salvaguarda jurídica para a atuação policial. Em conformidade com a Instrução Normativa 03/2019 da CGPC citada no manual, assinale a alternativa que apresenta o prazo limite para a realização das diligências de verificação e a autoridade competente para julgar eventual recurso interposto contra a decisão que indeferir a abertura de inquérito policial e arquivar o feito preliminar:</w:t>
      </w:r>
    </w:p>
    <w:p>
      <w:pPr>
        <w:pStyle w:val="normal11"/>
        <w:spacing w:lineRule="auto" w:line="240"/>
        <w:jc w:val="both"/>
        <w:rPr>
          <w:u w:val="none"/>
        </w:rPr>
      </w:pPr>
      <w:r>
        <w:rPr>
          <w:b w:val="false"/>
          <w:bCs w:val="false"/>
          <w:sz w:val="22"/>
          <w:szCs w:val="22"/>
          <w:u w:val="none"/>
        </w:rPr>
        <w:t xml:space="preserve">A) Prazo de 30 (trinta) dias; cabe recurso ao Ministério Público do Estado.</w:t>
      </w:r>
    </w:p>
    <w:p>
      <w:pPr>
        <w:pStyle w:val="normal11"/>
        <w:spacing w:lineRule="auto" w:line="240"/>
        <w:jc w:val="both"/>
        <w:rPr>
          <w:u w:val="none"/>
        </w:rPr>
      </w:pPr>
      <w:r>
        <w:rPr>
          <w:b w:val="false"/>
          <w:bCs w:val="false"/>
          <w:sz w:val="22"/>
          <w:szCs w:val="22"/>
          <w:u w:val="none"/>
        </w:rPr>
        <w:t xml:space="preserve">B) Prazo de 60 (sessenta) dias; cabe recurso ao Juiz de Direito da Vara Criminal.</w:t>
      </w:r>
    </w:p>
    <w:p>
      <w:pPr>
        <w:pStyle w:val="normal11"/>
        <w:spacing w:lineRule="auto" w:line="240"/>
        <w:jc w:val="both"/>
        <w:rPr>
          <w:u w:val="none"/>
        </w:rPr>
      </w:pPr>
      <w:r>
        <w:rPr>
          <w:b w:val="false"/>
          <w:bCs w:val="false"/>
          <w:sz w:val="22"/>
          <w:szCs w:val="22"/>
          <w:u w:val="none"/>
        </w:rPr>
        <w:t xml:space="preserve">C) Prazo de 90 (noventa) dias; cabe recurso ao Secretário de Estado da Segurança Pública.</w:t>
      </w:r>
    </w:p>
    <w:p>
      <w:pPr>
        <w:pStyle w:val="normal11"/>
        <w:spacing w:lineRule="auto" w:line="240"/>
        <w:jc w:val="both"/>
        <w:rPr>
          <w:u w:val="none"/>
        </w:rPr>
      </w:pPr>
      <w:r>
        <w:rPr>
          <w:b w:val="false"/>
          <w:bCs w:val="false"/>
          <w:sz w:val="22"/>
          <w:szCs w:val="22"/>
          <w:u w:val="none"/>
        </w:rPr>
        <w:t xml:space="preserve">D) Prazo de 90 (noventa) dias; cabe recurso ao Chefe de Polícia.</w:t>
      </w:r>
    </w:p>
    <w:p>
      <w:pPr>
        <w:pStyle w:val="normal11"/>
        <w:spacing w:lineRule="auto" w:line="240"/>
        <w:jc w:val="both"/>
        <w:rPr>
          <w:u w:val="none"/>
        </w:rPr>
      </w:pPr>
      <w:r>
        <w:rPr>
          <w:b w:val="false"/>
          <w:bCs w:val="false"/>
          <w:sz w:val="22"/>
          <w:szCs w:val="22"/>
          <w:u w:val="none"/>
        </w:rPr>
        <w:t xml:space="preserve">E) Prazo de 120 (cento e vinte) dias; cabe recurso ao Corregedor-Geral da Polícia Civil.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Durante a formalização do Auto de Prisão em Flagrante Delito (APFD), é comum que surjam dúvidas práticas a respeito dos direitos constitucionais assegurados ao custodiado. Sob a ótica do manual de procedimentos policiais e no que tange ao chamado "Mito da Ligação Telefônica" (Direito de Comunicação), assinale a alternativa correta:</w:t>
      </w:r>
    </w:p>
    <w:p>
      <w:pPr>
        <w:pStyle w:val="normal11"/>
        <w:spacing w:lineRule="auto" w:line="240"/>
        <w:jc w:val="both"/>
        <w:rPr>
          <w:u w:val="none"/>
        </w:rPr>
      </w:pPr>
      <w:r>
        <w:rPr>
          <w:b w:val="false"/>
          <w:bCs w:val="false"/>
          <w:sz w:val="22"/>
          <w:szCs w:val="22"/>
          <w:u w:val="none"/>
        </w:rPr>
        <w:t xml:space="preserve">A) O preso em flagrante possui o direito subjetivo e incondicionado de realizar diretamente ligações telefônicas pessoais de seu próprio aparelho para quem desejar.</w:t>
      </w:r>
    </w:p>
    <w:p>
      <w:pPr>
        <w:pStyle w:val="normal11"/>
        <w:spacing w:lineRule="auto" w:line="240"/>
        <w:jc w:val="both"/>
        <w:rPr>
          <w:u w:val="none"/>
        </w:rPr>
      </w:pPr>
      <w:r>
        <w:rPr>
          <w:b w:val="false"/>
          <w:bCs w:val="false"/>
          <w:sz w:val="22"/>
          <w:szCs w:val="22"/>
          <w:u w:val="none"/>
        </w:rPr>
        <w:t xml:space="preserve">B) O preso não tem o direito de realizar pessoalmente uma ligação telefônica, cabendo ao Estado, na figura do Policial Civil, realizar a comunicação da prisão e do local onde ele se encontra à família ou pessoa indicada.</w:t>
      </w:r>
    </w:p>
    <w:p>
      <w:pPr>
        <w:pStyle w:val="normal11"/>
        <w:spacing w:lineRule="auto" w:line="240"/>
        <w:jc w:val="both"/>
        <w:rPr>
          <w:u w:val="none"/>
        </w:rPr>
      </w:pPr>
      <w:r>
        <w:rPr>
          <w:b w:val="false"/>
          <w:bCs w:val="false"/>
          <w:sz w:val="22"/>
          <w:szCs w:val="22"/>
          <w:u w:val="none"/>
        </w:rPr>
        <w:t xml:space="preserve">C) A comunicação da prisão à família é um ato facultativo da autoridade de polícia judiciária, sendo obrigatória apenas a notificação formal ao Ministério Público e ao Juiz.</w:t>
      </w:r>
    </w:p>
    <w:p>
      <w:pPr>
        <w:pStyle w:val="normal11"/>
        <w:spacing w:lineRule="auto" w:line="240"/>
        <w:jc w:val="both"/>
        <w:rPr>
          <w:u w:val="none"/>
        </w:rPr>
      </w:pPr>
      <w:r>
        <w:rPr>
          <w:b w:val="false"/>
          <w:bCs w:val="false"/>
          <w:sz w:val="22"/>
          <w:szCs w:val="22"/>
          <w:u w:val="none"/>
        </w:rPr>
        <w:t xml:space="preserve">D) Por questões de sigilo da investigação de plantão, o policial civil está proibido de fazer contatos telefônicos externos para informar sobre a realização de prisões.</w:t>
      </w:r>
    </w:p>
    <w:p>
      <w:pPr>
        <w:pStyle w:val="normal11"/>
        <w:spacing w:lineRule="auto" w:line="240"/>
        <w:jc w:val="both"/>
        <w:rPr>
          <w:u w:val="none"/>
        </w:rPr>
      </w:pPr>
      <w:r>
        <w:rPr>
          <w:b w:val="false"/>
          <w:bCs w:val="false"/>
          <w:sz w:val="22"/>
          <w:szCs w:val="22"/>
          <w:u w:val="none"/>
        </w:rPr>
        <w:t xml:space="preserve">E) O direito de comunicação considera-se plenamente satisfeito com a entrega física da Nota de Culpa ao detido, não gerando obrigações de contato por parte da equipe de plantão.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59.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de Estado.</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de metodologia específica, sob pena de se perder a informação;</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Com base nas aulas ministradas, vimos que existem diferenças entre a ATIVIDADE DE INTELIGÊNCIA DE SEGURANÇA PÚBLICA e a INVESTIGAÇÃO POLICIAL, dessa forma não se pode confundi-las. Portanto a respeito do tema Atividade de Inteligência de Segurança Pública (ISP) e a Investigação Policial, marque a alternativa correta:</w:t>
      </w:r>
    </w:p>
    <w:p>
      <w:pPr>
        <w:pStyle w:val="normal11"/>
        <w:spacing w:lineRule="auto" w:line="240"/>
        <w:jc w:val="both"/>
        <w:rPr>
          <w:u w:val="none"/>
        </w:rPr>
      </w:pPr>
      <w:r>
        <w:rPr>
          <w:b w:val="false"/>
          <w:bCs w:val="false"/>
          <w:sz w:val="22"/>
          <w:szCs w:val="22"/>
          <w:u w:val="none"/>
        </w:rPr>
        <w:t xml:space="preserve">A) A Atividade de Inteligência de Segurança Pública tem a finalidade precípua de buscar provas e realizar prisões para condenar o autor do fato de um crime praticado. Atuando de forma pública e sempre prestando informações para publicações jornalísticas.</w:t>
      </w:r>
    </w:p>
    <w:p>
      <w:pPr>
        <w:pStyle w:val="normal11"/>
        <w:spacing w:lineRule="auto" w:line="240"/>
        <w:jc w:val="both"/>
        <w:rPr>
          <w:u w:val="none"/>
        </w:rPr>
      </w:pPr>
      <w:r>
        <w:rPr>
          <w:b w:val="false"/>
          <w:bCs w:val="false"/>
          <w:sz w:val="22"/>
          <w:szCs w:val="22"/>
          <w:u w:val="none"/>
        </w:rPr>
        <w:t xml:space="preserve">B) A Atividade de Inteligência não busca a produção de conhecimento, e não é sua atribuição a salvaguarda dos conhecimentos produzidos.</w:t>
      </w:r>
    </w:p>
    <w:p>
      <w:pPr>
        <w:pStyle w:val="normal11"/>
        <w:spacing w:lineRule="auto" w:line="240"/>
        <w:jc w:val="both"/>
        <w:rPr>
          <w:u w:val="none"/>
        </w:rPr>
      </w:pPr>
      <w:r>
        <w:rPr>
          <w:b w:val="false"/>
          <w:bCs w:val="false"/>
          <w:sz w:val="22"/>
          <w:szCs w:val="22"/>
          <w:u w:val="none"/>
        </w:rPr>
        <w:t xml:space="preserve">C) A Investigação Policial tem por finalidade principal buscar provas de autoria e materialidade visando uma condenação criminal, e sua atuação reativa, executa medidas cautelares e relata inquéritos, num procedimento público. Quanto a Atividade de ISP busca assessorar os gestores para um processo decisório, buscando produzir conhecimento, podendo nesse percurso obter provas, e sua atuação é proativa e o procedimento predominantemente reservado, ou seja, sigiloso.</w:t>
      </w:r>
    </w:p>
    <w:p>
      <w:pPr>
        <w:pStyle w:val="normal11"/>
        <w:spacing w:lineRule="auto" w:line="240"/>
        <w:jc w:val="both"/>
        <w:rPr>
          <w:u w:val="none"/>
        </w:rPr>
      </w:pPr>
      <w:r>
        <w:rPr>
          <w:b w:val="false"/>
          <w:bCs w:val="false"/>
          <w:sz w:val="22"/>
          <w:szCs w:val="22"/>
          <w:u w:val="none"/>
        </w:rPr>
        <w:t xml:space="preserve">D) Inteligência atua sempre de forma reativa, enquanto que a investigação vai atuar antecipadamente ao cometimento do crime.</w:t>
      </w:r>
    </w:p>
    <w:p>
      <w:pPr>
        <w:pStyle w:val="normal11"/>
        <w:spacing w:lineRule="auto" w:line="240"/>
        <w:jc w:val="both"/>
        <w:rPr>
          <w:u w:val="none"/>
        </w:rPr>
      </w:pPr>
      <w:r>
        <w:rPr>
          <w:b w:val="false"/>
          <w:bCs w:val="false"/>
          <w:sz w:val="22"/>
          <w:szCs w:val="22"/>
          <w:u w:val="none"/>
        </w:rPr>
        <w:t xml:space="preserve">E) A investigação ao final sempre produzirá um documento chamado RELINT.</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Em se tratando da Metodologia de Produção do Conhecimento de Inteligência, tem-se como fases:</w:t>
      </w:r>
    </w:p>
    <w:p>
      <w:pPr>
        <w:pStyle w:val="normal11"/>
        <w:spacing w:lineRule="auto" w:line="240"/>
        <w:jc w:val="both"/>
        <w:rPr>
          <w:u w:val="none"/>
        </w:rPr>
      </w:pPr>
      <w:r>
        <w:rPr>
          <w:b w:val="false"/>
          <w:bCs w:val="false"/>
          <w:sz w:val="22"/>
          <w:szCs w:val="22"/>
          <w:u w:val="none"/>
        </w:rPr>
        <w:t xml:space="preserve">A) Coleta inicial; análise preliminar; divulgação interna; revisão externa e implementação de feedback.</w:t>
      </w:r>
    </w:p>
    <w:p>
      <w:pPr>
        <w:pStyle w:val="normal11"/>
        <w:spacing w:lineRule="auto" w:line="240"/>
        <w:jc w:val="both"/>
        <w:rPr>
          <w:u w:val="none"/>
        </w:rPr>
      </w:pPr>
      <w:r>
        <w:rPr>
          <w:b w:val="false"/>
          <w:bCs w:val="false"/>
          <w:sz w:val="22"/>
          <w:szCs w:val="22"/>
          <w:u w:val="none"/>
        </w:rPr>
        <w:t xml:space="preserve">B) Agregação de dados; filtragem por relevância; teste de hipóteses; aprovação política e publicação de relatórios.</w:t>
      </w:r>
    </w:p>
    <w:p>
      <w:pPr>
        <w:pStyle w:val="normal11"/>
        <w:spacing w:lineRule="auto" w:line="240"/>
        <w:jc w:val="both"/>
        <w:rPr>
          <w:u w:val="none"/>
        </w:rPr>
      </w:pPr>
      <w:r>
        <w:rPr>
          <w:b w:val="false"/>
          <w:bCs w:val="false"/>
          <w:sz w:val="22"/>
          <w:szCs w:val="22"/>
          <w:u w:val="none"/>
        </w:rPr>
        <w:t xml:space="preserve">C) Planejamento; reunião; processamento e formalização e difusão.</w:t>
      </w:r>
    </w:p>
    <w:p>
      <w:pPr>
        <w:pStyle w:val="normal11"/>
        <w:spacing w:lineRule="auto" w:line="240"/>
        <w:jc w:val="both"/>
        <w:rPr>
          <w:u w:val="none"/>
        </w:rPr>
      </w:pPr>
      <w:r>
        <w:rPr>
          <w:b w:val="false"/>
          <w:bCs w:val="false"/>
          <w:sz w:val="22"/>
          <w:szCs w:val="22"/>
          <w:u w:val="none"/>
        </w:rPr>
        <w:t xml:space="preserve">D) Captação de rumores; elaboração de perfis fictícios; projeção de cenários irreais e confirmação por opinião popular.</w:t>
      </w:r>
    </w:p>
    <w:p>
      <w:pPr>
        <w:pStyle w:val="normal11"/>
        <w:spacing w:lineRule="auto" w:line="240"/>
        <w:jc w:val="both"/>
        <w:rPr>
          <w:u w:val="none"/>
        </w:rPr>
      </w:pPr>
      <w:r>
        <w:rPr>
          <w:b w:val="false"/>
          <w:bCs w:val="false"/>
          <w:sz w:val="22"/>
          <w:szCs w:val="22"/>
          <w:u w:val="none"/>
        </w:rPr>
        <w:t xml:space="preserve">E) Reunião; integração; difusão; revisão externa e publicação de resultados.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Quais são os três pilares fundamentais que sustentam o programa de Extrajornada na Polícia Civil do Paraná?</w:t>
      </w:r>
    </w:p>
    <w:p>
      <w:pPr>
        <w:pStyle w:val="normal11"/>
        <w:spacing w:lineRule="auto" w:line="240"/>
        <w:jc w:val="both"/>
        <w:rPr>
          <w:u w:val="none"/>
        </w:rPr>
      </w:pPr>
      <w:r>
        <w:rPr>
          <w:b w:val="false"/>
          <w:bCs w:val="false"/>
          <w:sz w:val="22"/>
          <w:szCs w:val="22"/>
          <w:u w:val="none"/>
        </w:rPr>
        <w:t xml:space="preserve">A) Atividade de inteligência, disponibilidade integral e obrigatoriedade.</w:t>
      </w:r>
    </w:p>
    <w:p>
      <w:pPr>
        <w:pStyle w:val="normal11"/>
        <w:spacing w:lineRule="auto" w:line="240"/>
        <w:jc w:val="both"/>
        <w:rPr>
          <w:u w:val="none"/>
        </w:rPr>
      </w:pPr>
      <w:r>
        <w:rPr>
          <w:b w:val="false"/>
          <w:bCs w:val="false"/>
          <w:sz w:val="22"/>
          <w:szCs w:val="22"/>
          <w:u w:val="none"/>
        </w:rPr>
        <w:t xml:space="preserve">B) Obrigatoriedade, atividade educacional e treinamento contínuo e regime de plantão obrigatório.</w:t>
      </w:r>
    </w:p>
    <w:p>
      <w:pPr>
        <w:pStyle w:val="normal11"/>
        <w:spacing w:lineRule="auto" w:line="240"/>
        <w:jc w:val="both"/>
        <w:rPr>
          <w:u w:val="none"/>
        </w:rPr>
      </w:pPr>
      <w:r>
        <w:rPr>
          <w:b w:val="false"/>
          <w:bCs w:val="false"/>
          <w:sz w:val="22"/>
          <w:szCs w:val="22"/>
          <w:u w:val="none"/>
        </w:rPr>
        <w:t xml:space="preserve">C) Voluntariedade, atividade-fim e proibição de cumulação com o recebimento de diárias.</w:t>
      </w:r>
    </w:p>
    <w:p>
      <w:pPr>
        <w:pStyle w:val="normal11"/>
        <w:spacing w:lineRule="auto" w:line="240"/>
        <w:jc w:val="both"/>
        <w:rPr>
          <w:u w:val="none"/>
        </w:rPr>
      </w:pPr>
      <w:r>
        <w:rPr>
          <w:b w:val="false"/>
          <w:bCs w:val="false"/>
          <w:sz w:val="22"/>
          <w:szCs w:val="22"/>
          <w:u w:val="none"/>
        </w:rPr>
        <w:t xml:space="preserve">D) Eventualidade, atividade exclusivamente administrativa e permitida cumulação com recebimento de diárias.</w:t>
      </w:r>
    </w:p>
    <w:p>
      <w:pPr>
        <w:pStyle w:val="normal11"/>
        <w:spacing w:lineRule="auto" w:line="240"/>
        <w:jc w:val="both"/>
        <w:rPr>
          <w:u w:val="none"/>
        </w:rPr>
      </w:pPr>
      <w:r>
        <w:rPr>
          <w:b w:val="false"/>
          <w:bCs w:val="false"/>
          <w:sz w:val="22"/>
          <w:szCs w:val="22"/>
          <w:u w:val="none"/>
        </w:rPr>
        <w:t xml:space="preserve">E) Permanente, exclusivamente operacional e sem limites mensal de jornadas.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A realização das despesas com recursos do Fundo Rotativo só poderá ocorrer em caráter excepcional e em conformidade com a legislação e normas administrativas vigentes, ou seja:</w:t>
      </w:r>
    </w:p>
    <w:p>
      <w:pPr>
        <w:pStyle w:val="normal11"/>
        <w:spacing w:lineRule="auto" w:line="240"/>
        <w:jc w:val="both"/>
        <w:rPr>
          <w:u w:val="none"/>
        </w:rPr>
      </w:pPr>
      <w:r>
        <w:rPr>
          <w:b w:val="false"/>
          <w:bCs w:val="false"/>
          <w:sz w:val="22"/>
          <w:szCs w:val="22"/>
          <w:u w:val="none"/>
        </w:rPr>
        <w:t xml:space="preserve">A) Quando a Unidade não registrou o PPD no prazo estabelecido.</w:t>
      </w:r>
    </w:p>
    <w:p>
      <w:pPr>
        <w:pStyle w:val="normal11"/>
        <w:spacing w:lineRule="auto" w:line="240"/>
        <w:jc w:val="both"/>
        <w:rPr>
          <w:u w:val="none"/>
        </w:rPr>
      </w:pPr>
      <w:r>
        <w:rPr>
          <w:b w:val="false"/>
          <w:bCs w:val="false"/>
          <w:sz w:val="22"/>
          <w:szCs w:val="22"/>
          <w:u w:val="none"/>
        </w:rPr>
        <w:t xml:space="preserve">B) Quando o material disponível em estoque no almoxarifado não foi retirado pela Unidade ou não foi entregue pelo Setor responsável pela distribuição na quantidade solicitada e no tempo necessário.</w:t>
      </w:r>
    </w:p>
    <w:p>
      <w:pPr>
        <w:pStyle w:val="normal11"/>
        <w:spacing w:lineRule="auto" w:line="240"/>
        <w:jc w:val="both"/>
        <w:rPr>
          <w:u w:val="none"/>
        </w:rPr>
      </w:pPr>
      <w:r>
        <w:rPr>
          <w:b w:val="false"/>
          <w:bCs w:val="false"/>
          <w:sz w:val="22"/>
          <w:szCs w:val="22"/>
          <w:u w:val="none"/>
        </w:rPr>
        <w:t xml:space="preserve">C) Quando a empresa contratada do Estado fornecer material insuficiente ou de baixa qualidade.</w:t>
      </w:r>
    </w:p>
    <w:p>
      <w:pPr>
        <w:pStyle w:val="normal11"/>
        <w:spacing w:lineRule="auto" w:line="240"/>
        <w:jc w:val="both"/>
        <w:rPr>
          <w:u w:val="none"/>
        </w:rPr>
      </w:pPr>
      <w:r>
        <w:rPr>
          <w:b w:val="false"/>
          <w:bCs w:val="false"/>
          <w:sz w:val="22"/>
          <w:szCs w:val="22"/>
          <w:u w:val="none"/>
        </w:rPr>
        <w:t xml:space="preserve">D) Quando previamente verificada a impossibilidade de aquisição/contratação por meio de processo licitatório vigente e a indisponibilidade do material em estoque no Almoxarifado.</w:t>
      </w:r>
    </w:p>
    <w:p>
      <w:pPr>
        <w:pStyle w:val="normal11"/>
        <w:spacing w:lineRule="auto" w:line="240"/>
        <w:jc w:val="both"/>
        <w:rPr>
          <w:u w:val="none"/>
        </w:rPr>
      </w:pPr>
      <w:r>
        <w:rPr>
          <w:b w:val="false"/>
          <w:bCs w:val="false"/>
          <w:sz w:val="22"/>
          <w:szCs w:val="22"/>
          <w:u w:val="none"/>
        </w:rPr>
        <w:t xml:space="preserve">E) O pagamento só poderá ser realizado após a aprovação da Assembleia Legislativa.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No âmbito da Polícia Civil, o afastamento do sigilo bancário é implementado com o auxílio do Sistema de Investigação de Movimentações Bancárias (SIMBA). Assinale a alternativa correta:</w:t>
      </w:r>
    </w:p>
    <w:p>
      <w:pPr>
        <w:pStyle w:val="normal11"/>
        <w:spacing w:lineRule="auto" w:line="240"/>
        <w:jc w:val="both"/>
        <w:rPr>
          <w:u w:val="none"/>
        </w:rPr>
      </w:pPr>
      <w:r>
        <w:rPr>
          <w:b w:val="false"/>
          <w:bCs w:val="false"/>
          <w:sz w:val="22"/>
          <w:szCs w:val="22"/>
          <w:u w:val="none"/>
        </w:rPr>
        <w:t xml:space="preserve">A) O sistema possibilita a transmissão e recepção, em meio digital, de dados bancários, fiscais e telemáticos.</w:t>
      </w:r>
    </w:p>
    <w:p>
      <w:pPr>
        <w:pStyle w:val="normal11"/>
        <w:spacing w:lineRule="auto" w:line="240"/>
        <w:jc w:val="both"/>
        <w:rPr>
          <w:u w:val="none"/>
        </w:rPr>
      </w:pPr>
      <w:r>
        <w:rPr>
          <w:b w:val="false"/>
          <w:bCs w:val="false"/>
          <w:sz w:val="22"/>
          <w:szCs w:val="22"/>
          <w:u w:val="none"/>
        </w:rPr>
        <w:t xml:space="preserve">B) A utilização do SIMBA dispensa a necessidade de autorização judicial para o recebimento dos dados bancários, proporcionando maior agilidade no afastamento do sigilo.</w:t>
      </w:r>
    </w:p>
    <w:p>
      <w:pPr>
        <w:pStyle w:val="normal11"/>
        <w:spacing w:lineRule="auto" w:line="240"/>
        <w:jc w:val="both"/>
        <w:rPr>
          <w:u w:val="none"/>
        </w:rPr>
      </w:pPr>
      <w:r>
        <w:rPr>
          <w:b w:val="false"/>
          <w:bCs w:val="false"/>
          <w:sz w:val="22"/>
          <w:szCs w:val="22"/>
          <w:u w:val="none"/>
        </w:rPr>
        <w:t xml:space="preserve">C) Para implementar o afastamento do sigilo bancário, a autoridade policial deverá, primeiramente, providenciar a abertura de um caso no sistema SIMBA, seja por intermédio do LAB-LD ou acessando diretamente o sistema.</w:t>
      </w:r>
    </w:p>
    <w:p>
      <w:pPr>
        <w:pStyle w:val="normal11"/>
        <w:spacing w:lineRule="auto" w:line="240"/>
        <w:jc w:val="both"/>
        <w:rPr>
          <w:u w:val="none"/>
        </w:rPr>
      </w:pPr>
      <w:r>
        <w:rPr>
          <w:b w:val="false"/>
          <w:bCs w:val="false"/>
          <w:sz w:val="22"/>
          <w:szCs w:val="22"/>
          <w:u w:val="none"/>
        </w:rPr>
        <w:t xml:space="preserve">D) Para cadastrar um caso no SIMBA, basta relacionar apenas os nomes dos alvos da investigação.</w:t>
      </w:r>
    </w:p>
    <w:p>
      <w:pPr>
        <w:pStyle w:val="normal11"/>
        <w:spacing w:lineRule="auto" w:line="240"/>
        <w:jc w:val="both"/>
        <w:rPr>
          <w:u w:val="none"/>
        </w:rPr>
      </w:pPr>
      <w:r>
        <w:rPr>
          <w:b w:val="false"/>
          <w:bCs w:val="false"/>
          <w:sz w:val="22"/>
          <w:szCs w:val="22"/>
          <w:u w:val="none"/>
        </w:rPr>
        <w:t xml:space="preserve">E) A solicitação dos extratos bancários ainda deverá ser efetuada pela autoridade policial às instituições financeiras.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O RIF — Relatório de Inteligência Financeira — é um importante instrumento de auxílio à investigação de lavagem de dinheiro. Sobre a solicitação do RIF, assinale a alternativa correta:</w:t>
      </w:r>
    </w:p>
    <w:p>
      <w:pPr>
        <w:pStyle w:val="normal11"/>
        <w:spacing w:lineRule="auto" w:line="240"/>
        <w:jc w:val="both"/>
        <w:rPr>
          <w:u w:val="none"/>
        </w:rPr>
      </w:pPr>
      <w:r>
        <w:rPr>
          <w:b w:val="false"/>
          <w:bCs w:val="false"/>
          <w:sz w:val="22"/>
          <w:szCs w:val="22"/>
          <w:u w:val="none"/>
        </w:rPr>
        <w:t xml:space="preserve">A) Atualmente, o RIF pode ser solicitado tanto pela autoridade policial quanto pelo agente de polícia judiciária atuante na investigação.</w:t>
      </w:r>
    </w:p>
    <w:p>
      <w:pPr>
        <w:pStyle w:val="normal11"/>
        <w:spacing w:lineRule="auto" w:line="240"/>
        <w:jc w:val="both"/>
        <w:rPr>
          <w:u w:val="none"/>
        </w:rPr>
      </w:pPr>
      <w:r>
        <w:rPr>
          <w:b w:val="false"/>
          <w:bCs w:val="false"/>
          <w:sz w:val="22"/>
          <w:szCs w:val="22"/>
          <w:u w:val="none"/>
        </w:rPr>
        <w:t xml:space="preserve">B) Não é necessário demonstrar a pertinência entre o conteúdo solicitado e o objeto do procedimento formal.</w:t>
      </w:r>
    </w:p>
    <w:p>
      <w:pPr>
        <w:pStyle w:val="normal11"/>
        <w:spacing w:lineRule="auto" w:line="240"/>
        <w:jc w:val="both"/>
        <w:rPr>
          <w:u w:val="none"/>
        </w:rPr>
      </w:pPr>
      <w:r>
        <w:rPr>
          <w:b w:val="false"/>
          <w:bCs w:val="false"/>
          <w:sz w:val="22"/>
          <w:szCs w:val="22"/>
          <w:u w:val="none"/>
        </w:rPr>
        <w:t xml:space="preserve">C) O entendimento mais moderno admite que o RIF pode ser solicitado com fundamento apenas em boletim de ocorrência devidamente registrado em uma unidade policial, independentemente da infração penal noticiada.</w:t>
      </w:r>
    </w:p>
    <w:p>
      <w:pPr>
        <w:pStyle w:val="normal11"/>
        <w:spacing w:lineRule="auto" w:line="240"/>
        <w:jc w:val="both"/>
        <w:rPr>
          <w:u w:val="none"/>
        </w:rPr>
      </w:pPr>
      <w:r>
        <w:rPr>
          <w:b w:val="false"/>
          <w:bCs w:val="false"/>
          <w:sz w:val="22"/>
          <w:szCs w:val="22"/>
          <w:u w:val="none"/>
        </w:rPr>
        <w:t xml:space="preserve">D) A autoridade policial deverá indicar expressamente que as pessoas relacionadas na consulta figuram formalmente como investigadas ou estão sujeitas a procedimento sancionador.</w:t>
      </w:r>
    </w:p>
    <w:p>
      <w:pPr>
        <w:pStyle w:val="normal11"/>
        <w:spacing w:lineRule="auto" w:line="240"/>
        <w:jc w:val="both"/>
        <w:rPr>
          <w:u w:val="none"/>
        </w:rPr>
      </w:pPr>
      <w:r>
        <w:rPr>
          <w:b w:val="false"/>
          <w:bCs w:val="false"/>
          <w:sz w:val="22"/>
          <w:szCs w:val="22"/>
          <w:u w:val="none"/>
        </w:rPr>
        <w:t xml:space="preserve">E) Na solicitação do RIF, não é necessário descrever o nexo causal entre os indícios apresentados e as pessoas consultadas, pois essa relação será devidamente apurada na investigação policial.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Sistema de Investigação de Movimentações Bancárias (SIMBA) gera um código de identificação ao final do cadastramento do novo caso. Assinale a alternativa correta:</w:t>
      </w:r>
    </w:p>
    <w:p>
      <w:pPr>
        <w:pStyle w:val="normal11"/>
        <w:spacing w:lineRule="auto" w:line="240"/>
        <w:jc w:val="both"/>
        <w:rPr>
          <w:u w:val="none"/>
        </w:rPr>
      </w:pPr>
      <w:r>
        <w:rPr>
          <w:b w:val="false"/>
          <w:bCs w:val="false"/>
          <w:sz w:val="22"/>
          <w:szCs w:val="22"/>
          <w:u w:val="none"/>
        </w:rPr>
        <w:t xml:space="preserve">A) A autoridade policial poderá utilizar o mesmo código do caso SIMBA em outros procedimentos investigatórios.</w:t>
      </w:r>
    </w:p>
    <w:p>
      <w:pPr>
        <w:pStyle w:val="normal11"/>
        <w:spacing w:lineRule="auto" w:line="240"/>
        <w:jc w:val="both"/>
        <w:rPr>
          <w:u w:val="none"/>
        </w:rPr>
      </w:pPr>
      <w:r>
        <w:rPr>
          <w:b w:val="false"/>
          <w:bCs w:val="false"/>
          <w:sz w:val="22"/>
          <w:szCs w:val="22"/>
          <w:u w:val="none"/>
        </w:rPr>
        <w:t xml:space="preserve">B) O código do caso SIMBA poderá ser compartilhado com outros colegas com o intuito de agilizar o trabalho policial.</w:t>
      </w:r>
    </w:p>
    <w:p>
      <w:pPr>
        <w:pStyle w:val="normal11"/>
        <w:spacing w:lineRule="auto" w:line="240"/>
        <w:jc w:val="both"/>
        <w:rPr>
          <w:u w:val="none"/>
        </w:rPr>
      </w:pPr>
      <w:r>
        <w:rPr>
          <w:b w:val="false"/>
          <w:bCs w:val="false"/>
          <w:sz w:val="22"/>
          <w:szCs w:val="22"/>
          <w:u w:val="none"/>
        </w:rPr>
        <w:t xml:space="preserve">C) Não é necessário informar o código do caso SIMBA na representação judicial de afastamento do sigilo bancário, pois o magistrado terá conhecimento automático dessa informação.</w:t>
      </w:r>
    </w:p>
    <w:p>
      <w:pPr>
        <w:pStyle w:val="normal11"/>
        <w:spacing w:lineRule="auto" w:line="240"/>
        <w:jc w:val="both"/>
        <w:rPr>
          <w:u w:val="none"/>
        </w:rPr>
      </w:pPr>
      <w:r>
        <w:rPr>
          <w:b w:val="false"/>
          <w:bCs w:val="false"/>
          <w:sz w:val="22"/>
          <w:szCs w:val="22"/>
          <w:u w:val="none"/>
        </w:rPr>
        <w:t xml:space="preserve">D) O código do caso é um elemento dispensável, utilizado apenas para controle interno, pois os dados bancários serão recebidos pelo SIMBA/PCPR mesmo sem ele.</w:t>
      </w:r>
    </w:p>
    <w:p>
      <w:pPr>
        <w:pStyle w:val="normal11"/>
        <w:spacing w:lineRule="auto" w:line="240"/>
        <w:jc w:val="both"/>
        <w:rPr>
          <w:u w:val="none"/>
        </w:rPr>
      </w:pPr>
      <w:r>
        <w:rPr>
          <w:b w:val="false"/>
          <w:bCs w:val="false"/>
          <w:sz w:val="22"/>
          <w:szCs w:val="22"/>
          <w:u w:val="none"/>
        </w:rPr>
        <w:t xml:space="preserve">E) O código é elemento de identificação único, não compartilhável e necessário para que os dados bancários sejam corretamente transmitidos pelas instituições financeiras e recepcionados pelo SIMBA do órgão destinatário.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 Lei de Abuso de Autoridade -,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Com base no Manual de Medidas Cautelares da ESPC/PR, as medidas que possuem natureza patrimonial, como o sequestro e o arresto, e que têm por objetivo primordial garantir a reparação civil dos danos causados pela infração penal, pertencem a qual grupo de medidas cautelares?</w:t>
      </w:r>
    </w:p>
    <w:p>
      <w:pPr>
        <w:pStyle w:val="normal11"/>
        <w:spacing w:lineRule="auto" w:line="240"/>
        <w:jc w:val="both"/>
        <w:rPr>
          <w:u w:val="none"/>
        </w:rPr>
      </w:pPr>
      <w:r>
        <w:rPr>
          <w:b w:val="false"/>
          <w:bCs w:val="false"/>
          <w:sz w:val="22"/>
          <w:szCs w:val="22"/>
          <w:u w:val="none"/>
        </w:rPr>
        <w:t xml:space="preserve">A) Medidas Cautelares Pessoais.</w:t>
      </w:r>
    </w:p>
    <w:p>
      <w:pPr>
        <w:pStyle w:val="normal11"/>
        <w:spacing w:lineRule="auto" w:line="240"/>
        <w:jc w:val="both"/>
        <w:rPr>
          <w:u w:val="none"/>
        </w:rPr>
      </w:pPr>
      <w:r>
        <w:rPr>
          <w:b w:val="false"/>
          <w:bCs w:val="false"/>
          <w:sz w:val="22"/>
          <w:szCs w:val="22"/>
          <w:u w:val="none"/>
        </w:rPr>
        <w:t xml:space="preserve">B) Medidas Cautelares Probatórias.</w:t>
      </w:r>
    </w:p>
    <w:p>
      <w:pPr>
        <w:pStyle w:val="normal11"/>
        <w:spacing w:lineRule="auto" w:line="240"/>
        <w:jc w:val="both"/>
        <w:rPr>
          <w:u w:val="none"/>
        </w:rPr>
      </w:pPr>
      <w:r>
        <w:rPr>
          <w:b w:val="false"/>
          <w:bCs w:val="false"/>
          <w:sz w:val="22"/>
          <w:szCs w:val="22"/>
          <w:u w:val="none"/>
        </w:rPr>
        <w:t xml:space="preserve">C) Medidas Cautelares Reais (Asseguratórias).</w:t>
      </w:r>
    </w:p>
    <w:p>
      <w:pPr>
        <w:pStyle w:val="normal11"/>
        <w:spacing w:lineRule="auto" w:line="240"/>
        <w:jc w:val="both"/>
        <w:rPr>
          <w:u w:val="none"/>
        </w:rPr>
      </w:pPr>
      <w:r>
        <w:rPr>
          <w:b w:val="false"/>
          <w:bCs w:val="false"/>
          <w:sz w:val="22"/>
          <w:szCs w:val="22"/>
          <w:u w:val="none"/>
        </w:rPr>
        <w:t xml:space="preserve">D) Medidas Cautelares Inquisitoriais.</w:t>
      </w:r>
    </w:p>
    <w:p>
      <w:pPr>
        <w:pStyle w:val="normal11"/>
        <w:spacing w:lineRule="auto" w:line="240"/>
        <w:jc w:val="both"/>
        <w:rPr>
          <w:u w:val="none"/>
        </w:rPr>
      </w:pPr>
      <w:r>
        <w:rPr>
          <w:b w:val="false"/>
          <w:bCs w:val="false"/>
          <w:sz w:val="22"/>
          <w:szCs w:val="22"/>
          <w:u w:val="none"/>
        </w:rPr>
        <w:t xml:space="preserve">E) Medidas Cautelares Atípicas.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Em relação às regras que regem a busca e apreensão (art. 240 do CPP), assinale a alternativa que apresenta a correta distinção de procedimento entre a busca domiciliar e a busca pessoal descrita no manual:</w:t>
      </w:r>
    </w:p>
    <w:p>
      <w:pPr>
        <w:pStyle w:val="normal11"/>
        <w:spacing w:lineRule="auto" w:line="240"/>
        <w:jc w:val="both"/>
        <w:rPr>
          <w:u w:val="none"/>
        </w:rPr>
      </w:pPr>
      <w:r>
        <w:rPr>
          <w:b w:val="false"/>
          <w:bCs w:val="false"/>
          <w:sz w:val="22"/>
          <w:szCs w:val="22"/>
          <w:u w:val="none"/>
        </w:rPr>
        <w:t xml:space="preserve">A) A busca domiciliar pode ser determinada diretamente por agentes policiais de forma imediata, dispensando qualquer mandado judicial.</w:t>
      </w:r>
    </w:p>
    <w:p>
      <w:pPr>
        <w:pStyle w:val="normal11"/>
        <w:spacing w:lineRule="auto" w:line="240"/>
        <w:jc w:val="both"/>
        <w:rPr>
          <w:u w:val="none"/>
        </w:rPr>
      </w:pPr>
      <w:r>
        <w:rPr>
          <w:b w:val="false"/>
          <w:bCs w:val="false"/>
          <w:sz w:val="22"/>
          <w:szCs w:val="22"/>
          <w:u w:val="none"/>
        </w:rPr>
        <w:t xml:space="preserve">B) Ambas as modalidades de busca (pessoal e domiciliar) exigem obrigatoriamente prévia e fundamentada determinação de autoridade judicial.</w:t>
      </w:r>
    </w:p>
    <w:p>
      <w:pPr>
        <w:pStyle w:val="normal11"/>
        <w:spacing w:lineRule="auto" w:line="240"/>
        <w:jc w:val="both"/>
        <w:rPr>
          <w:u w:val="none"/>
        </w:rPr>
      </w:pPr>
      <w:r>
        <w:rPr>
          <w:b w:val="false"/>
          <w:bCs w:val="false"/>
          <w:sz w:val="22"/>
          <w:szCs w:val="22"/>
          <w:u w:val="none"/>
        </w:rPr>
        <w:t xml:space="preserve">C) A busca pessoal exige prévia autorização da autoridade judicial, enquanto a busca domiciliar depende apenas de fundada suspeita do Delegado.</w:t>
      </w:r>
    </w:p>
    <w:p>
      <w:pPr>
        <w:pStyle w:val="normal11"/>
        <w:spacing w:lineRule="auto" w:line="240"/>
        <w:jc w:val="both"/>
        <w:rPr>
          <w:u w:val="none"/>
        </w:rPr>
      </w:pPr>
      <w:r>
        <w:rPr>
          <w:b w:val="false"/>
          <w:bCs w:val="false"/>
          <w:sz w:val="22"/>
          <w:szCs w:val="22"/>
          <w:u w:val="none"/>
        </w:rPr>
        <w:t xml:space="preserve">D) A busca domiciliar está estritamente adstrita à cláusula de reserva jurisdicional, exigindo prévia determinação judicial, enquanto a busca pessoal pode ser determinada diretamente pela autoridade policial ou seus agentes.</w:t>
      </w:r>
    </w:p>
    <w:p>
      <w:pPr>
        <w:pStyle w:val="normal11"/>
        <w:spacing w:lineRule="auto" w:line="240"/>
        <w:jc w:val="both"/>
        <w:rPr>
          <w:u w:val="none"/>
        </w:rPr>
      </w:pPr>
      <w:r>
        <w:rPr>
          <w:b w:val="false"/>
          <w:bCs w:val="false"/>
          <w:sz w:val="22"/>
          <w:szCs w:val="22"/>
          <w:u w:val="none"/>
        </w:rPr>
        <w:t xml:space="preserve">E) A busca domiciliar pode ser executada em período noturno por determinação direta da autoridade policial quando houver fundada suspeita de ocultação de provas.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Durante a execução de um Mandado de Busca e Apreensão (MBA) domiciliar, caso a equipe policial constate a ausência do morador ou de qualquer outro responsável no imóvel, qual deve ser o procedimento formal adotado pelos policiais civis encarregados?</w:t>
      </w:r>
    </w:p>
    <w:p>
      <w:pPr>
        <w:pStyle w:val="normal11"/>
        <w:spacing w:lineRule="auto" w:line="240"/>
        <w:jc w:val="both"/>
        <w:rPr>
          <w:u w:val="none"/>
        </w:rPr>
      </w:pPr>
      <w:r>
        <w:rPr>
          <w:b w:val="false"/>
          <w:bCs w:val="false"/>
          <w:sz w:val="22"/>
          <w:szCs w:val="22"/>
          <w:u w:val="none"/>
        </w:rPr>
        <w:t xml:space="preserve">A) A diligência deve ser imediatamente suspensa, devendo a equipe retornar apenas quando o morador estiver presente no local.</w:t>
      </w:r>
    </w:p>
    <w:p>
      <w:pPr>
        <w:pStyle w:val="normal11"/>
        <w:spacing w:lineRule="auto" w:line="240"/>
        <w:jc w:val="both"/>
        <w:rPr>
          <w:u w:val="none"/>
        </w:rPr>
      </w:pPr>
      <w:r>
        <w:rPr>
          <w:b w:val="false"/>
          <w:bCs w:val="false"/>
          <w:sz w:val="22"/>
          <w:szCs w:val="22"/>
          <w:u w:val="none"/>
        </w:rPr>
        <w:t xml:space="preserve">B) A porta do domicílio será arrombada e a equipe poderá realizar a busca livremente, sem formalidades ou registros adicionais.</w:t>
      </w:r>
    </w:p>
    <w:p>
      <w:pPr>
        <w:pStyle w:val="normal11"/>
        <w:spacing w:lineRule="auto" w:line="240"/>
        <w:jc w:val="both"/>
        <w:rPr>
          <w:u w:val="none"/>
        </w:rPr>
      </w:pPr>
      <w:r>
        <w:rPr>
          <w:b w:val="false"/>
          <w:bCs w:val="false"/>
          <w:sz w:val="22"/>
          <w:szCs w:val="22"/>
          <w:u w:val="none"/>
        </w:rPr>
        <w:t xml:space="preserve">C) A porta do domicílio será arrombada para forçar a entrada, devendo a equipe intimar um vizinho para acompanhar a diligência de busca.</w:t>
      </w:r>
    </w:p>
    <w:p>
      <w:pPr>
        <w:pStyle w:val="normal11"/>
        <w:spacing w:lineRule="auto" w:line="240"/>
        <w:jc w:val="both"/>
        <w:rPr>
          <w:u w:val="none"/>
        </w:rPr>
      </w:pPr>
      <w:r>
        <w:rPr>
          <w:b w:val="false"/>
          <w:bCs w:val="false"/>
          <w:sz w:val="22"/>
          <w:szCs w:val="22"/>
          <w:u w:val="none"/>
        </w:rPr>
        <w:t xml:space="preserve">D) A diligência deve ser cancelada e o mandado judicial devolvido ao juiz competente, visto que a ausência de testemunhas residentes anula o ato.</w:t>
      </w:r>
    </w:p>
    <w:p>
      <w:pPr>
        <w:pStyle w:val="normal11"/>
        <w:spacing w:lineRule="auto" w:line="240"/>
        <w:jc w:val="both"/>
        <w:rPr>
          <w:u w:val="none"/>
        </w:rPr>
      </w:pPr>
      <w:r>
        <w:rPr>
          <w:b w:val="false"/>
          <w:bCs w:val="false"/>
          <w:sz w:val="22"/>
          <w:szCs w:val="22"/>
          <w:u w:val="none"/>
        </w:rPr>
        <w:t xml:space="preserve">E) A busca no imóvel sem moradores só poderá ser realizada mediante o acompanhamento presencial de um representante do Ministério Público.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e editar o vídeo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A responsabilidade civil do Estado é, em regra:</w:t>
      </w:r>
    </w:p>
    <w:p>
      <w:pPr>
        <w:pStyle w:val="normal11"/>
        <w:spacing w:lineRule="auto" w:line="240"/>
        <w:jc w:val="both"/>
        <w:rPr>
          <w:u w:val="none"/>
        </w:rPr>
      </w:pPr>
      <w:r>
        <w:rPr>
          <w:b w:val="false"/>
          <w:bCs w:val="false"/>
          <w:sz w:val="22"/>
          <w:szCs w:val="22"/>
          <w:u w:val="none"/>
        </w:rPr>
        <w:t xml:space="preserve">A) Subjetiva, dependendo sempre da comprovação de dolo.</w:t>
      </w:r>
    </w:p>
    <w:p>
      <w:pPr>
        <w:pStyle w:val="normal11"/>
        <w:spacing w:lineRule="auto" w:line="240"/>
        <w:jc w:val="both"/>
        <w:rPr>
          <w:u w:val="none"/>
        </w:rPr>
      </w:pPr>
      <w:r>
        <w:rPr>
          <w:b w:val="false"/>
          <w:bCs w:val="false"/>
          <w:sz w:val="22"/>
          <w:szCs w:val="22"/>
          <w:u w:val="none"/>
        </w:rPr>
        <w:t xml:space="preserve">B) Subjetiva, dependendo sempre da comprovação de culpa.</w:t>
      </w:r>
    </w:p>
    <w:p>
      <w:pPr>
        <w:pStyle w:val="normal11"/>
        <w:spacing w:lineRule="auto" w:line="240"/>
        <w:jc w:val="both"/>
        <w:rPr>
          <w:u w:val="none"/>
        </w:rPr>
      </w:pPr>
      <w:r>
        <w:rPr>
          <w:b w:val="false"/>
          <w:bCs w:val="false"/>
          <w:sz w:val="22"/>
          <w:szCs w:val="22"/>
          <w:u w:val="none"/>
        </w:rPr>
        <w:t xml:space="preserve">C) Objetiva, em razão da adoção da Teoria do Risco Administrativo.</w:t>
      </w:r>
    </w:p>
    <w:p>
      <w:pPr>
        <w:pStyle w:val="normal11"/>
        <w:spacing w:lineRule="auto" w:line="240"/>
        <w:jc w:val="both"/>
        <w:rPr>
          <w:u w:val="none"/>
        </w:rPr>
      </w:pPr>
      <w:r>
        <w:rPr>
          <w:b w:val="false"/>
          <w:bCs w:val="false"/>
          <w:sz w:val="22"/>
          <w:szCs w:val="22"/>
          <w:u w:val="none"/>
        </w:rPr>
        <w:t xml:space="preserve">D) Integral, não admitindo qualquer hipótese de exclusão.</w:t>
      </w:r>
    </w:p>
    <w:p>
      <w:pPr>
        <w:pStyle w:val="normal11"/>
        <w:spacing w:lineRule="auto" w:line="240"/>
        <w:jc w:val="both"/>
        <w:rPr>
          <w:u w:val="none"/>
        </w:rPr>
      </w:pPr>
      <w:r>
        <w:rPr>
          <w:b w:val="false"/>
          <w:bCs w:val="false"/>
          <w:sz w:val="22"/>
          <w:szCs w:val="22"/>
          <w:u w:val="none"/>
        </w:rPr>
        <w:t xml:space="preserve">E) Inexistente quando o dano for causado por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2</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5" behindDoc="1" locked="0" layoutInCell="0"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3"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2"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5</Pages>
  <Words>511</Words>
  <Characters>2415</Characters>
  <CharactersWithSpaces>2765</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