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caps w:val="false"/>
          <w:smallCaps w:val="false"/>
          <w:strike w:val="false"/>
          <w:dstrike w:val="false"/>
          <w:color w:val="000000"/>
          <w:position w:val="0"/>
          <w:sz w:val="22"/>
          <w:szCs w:val="22"/>
          <w:u w:val="none"/>
          <w:vertAlign w:val="baseline"/>
        </w:rPr>
        <w:sectPr>
          <w:type w:val="nextPage"/>
          <w:pgSz w:w="11906" w:h="16838"/>
          <w:pgMar w:left="1440" w:right="1440" w:gutter="0" w:header="0" w:top="1440" w:footer="0" w:bottom="1440"/>
          <w:pgNumType w:start="1" w:fmt="decimal"/>
          <w:formProt w:val="false"/>
          <w:textDirection w:val="lrTb"/>
          <w:docGrid w:type="default" w:linePitch="100" w:charSpace="0"/>
        </w:sectPr>
      </w:pPr>
      <w:bookmarkStart w:id="0" w:name="_f3jel3rrkx69"/>
      <w:bookmarkEnd w:id="0"/>
      <w:r>
        <w:rPr>
          <w:rFonts w:eastAsia="Arial" w:cs="Arial"/>
          <w:b w:val="false"/>
          <w:i w:val="false"/>
          <w:caps w:val="false"/>
          <w:smallCaps w:val="false"/>
          <w:strike w:val="false"/>
          <w:dstrike w:val="false"/>
          <w:color w:val="000000"/>
          <w:position w:val="0"/>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DELEGADO DE POLÍCIA: 0</w:t>
      </w:r>
      <w:r>
        <w:rPr>
          <w:b/>
          <w:sz w:val="24"/>
          <w:szCs w:val="24"/>
        </w:rPr>
        <w:t>11</w:t>
      </w:r>
      <w:r>
        <w:rPr>
          <w:b/>
          <w:sz w:val="24"/>
          <w:szCs w:val="24"/>
        </w:rPr>
        <w:t>/202</w:t>
      </w:r>
      <w:r>
        <w:rPr>
          <w:b/>
          <w:sz w:val="24"/>
          <w:szCs w:val="24"/>
        </w:rPr>
        <w:t>6</w:t>
      </w:r>
    </w:p>
    <w:p>
      <w:pPr>
        <w:pStyle w:val="normal1"/>
        <w:spacing w:lineRule="auto" w:line="240" w:before="240" w:after="0"/>
        <w:jc w:val="center"/>
        <w:rPr/>
      </w:pPr>
      <w:r>
        <w:rPr>
          <w:b/>
          <w:sz w:val="24"/>
          <w:szCs w:val="24"/>
          <w:u w:val="single"/>
        </w:rPr>
        <w:t xml:space="preserve">PROVA: B</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rPr>
      </w:pPr>
      <w:r>
        <w:rPr>
          <w:i/>
        </w:rPr>
      </w:r>
    </w:p>
    <w:p>
      <w:pPr>
        <w:pStyle w:val="normal1"/>
        <w:spacing w:lineRule="auto" w:line="240"/>
        <w:jc w:val="both"/>
        <w:rPr>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B</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1"/>
        <w:gridCol w:w="557"/>
        <w:gridCol w:w="554"/>
        <w:gridCol w:w="559"/>
        <w:gridCol w:w="555"/>
        <w:gridCol w:w="554"/>
        <w:gridCol w:w="561"/>
        <w:gridCol w:w="556"/>
        <w:gridCol w:w="554"/>
        <w:gridCol w:w="611"/>
      </w:tblGrid>
      <w:tr>
        <w:trPr>
          <w:trHeight w:val="440" w:hRule="atLeast"/>
        </w:trPr>
        <w:tc>
          <w:tcPr>
            <w:tcW w:w="11175"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B</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 De acordo com o Anexo V da Lei Complementar Estadual nº 259, de 21 de julho de 2023, os membros dacarreira da Polícia Civil do Estado do Paraná (PCPR) possuem atribuições operacionais e administrativas.Sobre o exercício das atividades de gestão e fiscalização de contratos por policiais civis, assinale aalternativa correta:</w:t>
      </w:r>
    </w:p>
    <w:p>
      <w:pPr>
        <w:pStyle w:val="normal11"/>
        <w:spacing w:lineRule="auto" w:line="240"/>
        <w:jc w:val="both"/>
        <w:rPr>
          <w:u w:val="none"/>
        </w:rPr>
      </w:pPr>
      <w:r>
        <w:rPr>
          <w:b w:val="false"/>
          <w:bCs w:val="false"/>
          <w:sz w:val="22"/>
          <w:szCs w:val="22"/>
          <w:u w:val="none"/>
        </w:rPr>
        <w:t xml:space="preserve">A) Trata-se de atribuição vedada aos policiais civis, devendo ser exercida exclusivamente por analistasadministrativos da Secretaria de Administração.</w:t>
      </w:r>
    </w:p>
    <w:p>
      <w:pPr>
        <w:pStyle w:val="normal11"/>
        <w:spacing w:lineRule="auto" w:line="240"/>
        <w:jc w:val="both"/>
        <w:rPr>
          <w:u w:val="none"/>
        </w:rPr>
      </w:pPr>
      <w:r>
        <w:rPr>
          <w:b w:val="false"/>
          <w:bCs w:val="false"/>
          <w:sz w:val="22"/>
          <w:szCs w:val="22"/>
          <w:u w:val="none"/>
        </w:rPr>
        <w:t xml:space="preserve">B) É uma atividade voluntária que depende da prévia concordância por escrito do policial designado.</w:t>
      </w:r>
    </w:p>
    <w:p>
      <w:pPr>
        <w:pStyle w:val="normal11"/>
        <w:spacing w:lineRule="auto" w:line="240"/>
        <w:jc w:val="both"/>
        <w:rPr>
          <w:u w:val="none"/>
        </w:rPr>
      </w:pPr>
      <w:r>
        <w:rPr>
          <w:b w:val="false"/>
          <w:bCs w:val="false"/>
          <w:sz w:val="22"/>
          <w:szCs w:val="22"/>
          <w:u w:val="none"/>
        </w:rPr>
        <w:t xml:space="preserve">C) Constitui atribuição básica de todos os membros da carreira o cumprimento de obrigações administrativas, inclusive a gestão, fiscalização de contratos e atesto de notas fiscais.</w:t>
      </w:r>
    </w:p>
    <w:p>
      <w:pPr>
        <w:pStyle w:val="normal11"/>
        <w:spacing w:lineRule="auto" w:line="240"/>
        <w:jc w:val="both"/>
        <w:rPr>
          <w:u w:val="none"/>
        </w:rPr>
      </w:pPr>
      <w:r>
        <w:rPr>
          <w:b w:val="false"/>
          <w:bCs w:val="false"/>
          <w:sz w:val="22"/>
          <w:szCs w:val="22"/>
          <w:u w:val="none"/>
        </w:rPr>
        <w:t xml:space="preserve">D) É permitida apenas a delegados de polícia ocupantes de cargos de chefia, sendo vedada aos demaisagentes da carreira.</w:t>
      </w:r>
    </w:p>
    <w:p>
      <w:pPr>
        <w:pStyle w:val="normal11"/>
        <w:spacing w:lineRule="auto" w:line="240"/>
        <w:jc w:val="both"/>
        <w:rPr>
          <w:u w:val="none"/>
        </w:rPr>
      </w:pPr>
      <w:r>
        <w:rPr>
          <w:b w:val="false"/>
          <w:bCs w:val="false"/>
          <w:sz w:val="22"/>
          <w:szCs w:val="22"/>
          <w:u w:val="none"/>
        </w:rPr>
        <w:t xml:space="preserve">E) A fiscalização de contratos é permitida somente mediante pagamento prévio de gratificação de função específica.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 A Resolução SESP nº 572/2023 estabelece as diretrizes e critérios para a designação de gestores e fiscaisde contratos no âmbito da Secretaria de Estado da Segurança Pública do Paraná. Qual dos princípios/critérios abaixo prevê expressamente que o servidor responsável pela fase de planejamento ou escolha daempresa não deve ser o mesmo a fiscalizar a execução do contrato?</w:t>
      </w:r>
    </w:p>
    <w:p>
      <w:pPr>
        <w:pStyle w:val="normal11"/>
        <w:spacing w:lineRule="auto" w:line="240"/>
        <w:jc w:val="both"/>
        <w:rPr>
          <w:u w:val="none"/>
        </w:rPr>
      </w:pPr>
      <w:r>
        <w:rPr>
          <w:b w:val="false"/>
          <w:bCs w:val="false"/>
          <w:sz w:val="22"/>
          <w:szCs w:val="22"/>
          <w:u w:val="none"/>
        </w:rPr>
        <w:t xml:space="preserve">A) Princípio da Territorialidade e Logística.</w:t>
      </w:r>
    </w:p>
    <w:p>
      <w:pPr>
        <w:pStyle w:val="normal11"/>
        <w:spacing w:lineRule="auto" w:line="240"/>
        <w:jc w:val="both"/>
        <w:rPr>
          <w:u w:val="none"/>
        </w:rPr>
      </w:pPr>
      <w:r>
        <w:rPr>
          <w:b w:val="false"/>
          <w:bCs w:val="false"/>
          <w:sz w:val="22"/>
          <w:szCs w:val="22"/>
          <w:u w:val="none"/>
        </w:rPr>
        <w:t xml:space="preserve">B) Princípio da Segregação de Funções.</w:t>
      </w:r>
    </w:p>
    <w:p>
      <w:pPr>
        <w:pStyle w:val="normal11"/>
        <w:spacing w:lineRule="auto" w:line="240"/>
        <w:jc w:val="both"/>
        <w:rPr>
          <w:u w:val="none"/>
        </w:rPr>
      </w:pPr>
      <w:r>
        <w:rPr>
          <w:b w:val="false"/>
          <w:bCs w:val="false"/>
          <w:sz w:val="22"/>
          <w:szCs w:val="22"/>
          <w:u w:val="none"/>
        </w:rPr>
        <w:t xml:space="preserve">C) Critério da Compatibilidade de Carga Horária.</w:t>
      </w:r>
    </w:p>
    <w:p>
      <w:pPr>
        <w:pStyle w:val="normal11"/>
        <w:spacing w:lineRule="auto" w:line="240"/>
        <w:jc w:val="both"/>
        <w:rPr>
          <w:u w:val="none"/>
        </w:rPr>
      </w:pPr>
      <w:r>
        <w:rPr>
          <w:b w:val="false"/>
          <w:bCs w:val="false"/>
          <w:sz w:val="22"/>
          <w:szCs w:val="22"/>
          <w:u w:val="none"/>
        </w:rPr>
        <w:t xml:space="preserve">D) Princípio do Vínculo Efetivo Obrigatório.</w:t>
      </w:r>
    </w:p>
    <w:p>
      <w:pPr>
        <w:pStyle w:val="normal11"/>
        <w:spacing w:lineRule="auto" w:line="240"/>
        <w:jc w:val="both"/>
        <w:rPr>
          <w:u w:val="none"/>
        </w:rPr>
      </w:pPr>
      <w:r>
        <w:rPr>
          <w:b w:val="false"/>
          <w:bCs w:val="false"/>
          <w:sz w:val="22"/>
          <w:szCs w:val="22"/>
          <w:u w:val="none"/>
        </w:rPr>
        <w:t xml:space="preserve">E) Critério de Capacidade Técnica Operacional.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pois o toque com cuidado m objetos não altera o seu estado.</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Não exsite vantagem.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Logo após a criação da Província do Paraná, tornou-se necessária a organização da segurança pública local e a definição de suas lideranças. Quem foi o primeiro Chefe de Polícia nomeado em 20 de outubro de 1853 para atuar na Província do Paraná?</w:t>
      </w:r>
    </w:p>
    <w:p>
      <w:pPr>
        <w:pStyle w:val="normal11"/>
        <w:spacing w:lineRule="auto" w:line="240"/>
        <w:jc w:val="both"/>
        <w:rPr>
          <w:u w:val="none"/>
        </w:rPr>
      </w:pPr>
      <w:r>
        <w:rPr>
          <w:b w:val="false"/>
          <w:bCs w:val="false"/>
          <w:sz w:val="22"/>
          <w:szCs w:val="22"/>
          <w:u w:val="none"/>
        </w:rPr>
        <w:t xml:space="preserve">A) João Gualberto.</w:t>
      </w:r>
    </w:p>
    <w:p>
      <w:pPr>
        <w:pStyle w:val="normal11"/>
        <w:spacing w:lineRule="auto" w:line="240"/>
        <w:jc w:val="both"/>
        <w:rPr>
          <w:u w:val="none"/>
        </w:rPr>
      </w:pPr>
      <w:r>
        <w:rPr>
          <w:b w:val="false"/>
          <w:bCs w:val="false"/>
          <w:sz w:val="22"/>
          <w:szCs w:val="22"/>
          <w:u w:val="none"/>
        </w:rPr>
        <w:t xml:space="preserve">B) Zacarias de Góes e Vasconcelos.</w:t>
      </w:r>
    </w:p>
    <w:p>
      <w:pPr>
        <w:pStyle w:val="normal11"/>
        <w:spacing w:lineRule="auto" w:line="240"/>
        <w:jc w:val="both"/>
        <w:rPr>
          <w:u w:val="none"/>
        </w:rPr>
      </w:pPr>
      <w:r>
        <w:rPr>
          <w:b w:val="false"/>
          <w:bCs w:val="false"/>
          <w:sz w:val="22"/>
          <w:szCs w:val="22"/>
          <w:u w:val="none"/>
        </w:rPr>
        <w:t xml:space="preserve">C) Cândido de Abreu.</w:t>
      </w:r>
    </w:p>
    <w:p>
      <w:pPr>
        <w:pStyle w:val="normal11"/>
        <w:spacing w:lineRule="auto" w:line="240"/>
        <w:jc w:val="both"/>
        <w:rPr>
          <w:u w:val="none"/>
        </w:rPr>
      </w:pPr>
      <w:r>
        <w:rPr>
          <w:b w:val="false"/>
          <w:bCs w:val="false"/>
          <w:sz w:val="22"/>
          <w:szCs w:val="22"/>
          <w:u w:val="none"/>
        </w:rPr>
        <w:t xml:space="preserve">D) Antônio Manoel Fernandes Júnior.</w:t>
      </w:r>
    </w:p>
    <w:p>
      <w:pPr>
        <w:pStyle w:val="normal11"/>
        <w:spacing w:lineRule="auto" w:line="240"/>
        <w:jc w:val="both"/>
        <w:rPr>
          <w:u w:val="none"/>
        </w:rPr>
      </w:pPr>
      <w:r>
        <w:rPr>
          <w:b w:val="false"/>
          <w:bCs w:val="false"/>
          <w:sz w:val="22"/>
          <w:szCs w:val="22"/>
          <w:u w:val="none"/>
        </w:rPr>
        <w:t xml:space="preserve">E) Bento Viana.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 De acordo com as recentes alterações promovidas pela Lei nº 14.994/2024 no Código Penal, qual é a natureza da ação penal no crime de ameaça quando praticado contra a mulher por razões da condição do sexo feminino (artigo 147, § 1º, do Código Penal)?</w:t>
      </w:r>
    </w:p>
    <w:p>
      <w:pPr>
        <w:pStyle w:val="normal11"/>
        <w:spacing w:lineRule="auto" w:line="240"/>
        <w:jc w:val="both"/>
        <w:rPr>
          <w:u w:val="none"/>
        </w:rPr>
      </w:pPr>
      <w:r>
        <w:rPr>
          <w:b w:val="false"/>
          <w:bCs w:val="false"/>
          <w:sz w:val="22"/>
          <w:szCs w:val="22"/>
          <w:u w:val="none"/>
        </w:rPr>
        <w:t xml:space="preserve">A) Pública condicionada à requisição do Ministério Público;</w:t>
      </w:r>
    </w:p>
    <w:p>
      <w:pPr>
        <w:pStyle w:val="normal11"/>
        <w:spacing w:lineRule="auto" w:line="240"/>
        <w:jc w:val="both"/>
        <w:rPr>
          <w:u w:val="none"/>
        </w:rPr>
      </w:pPr>
      <w:r>
        <w:rPr>
          <w:b w:val="false"/>
          <w:bCs w:val="false"/>
          <w:sz w:val="22"/>
          <w:szCs w:val="22"/>
          <w:u w:val="none"/>
        </w:rPr>
        <w:t xml:space="preserve">B) Privada subsidiária da pública;</w:t>
      </w:r>
    </w:p>
    <w:p>
      <w:pPr>
        <w:pStyle w:val="normal11"/>
        <w:spacing w:lineRule="auto" w:line="240"/>
        <w:jc w:val="both"/>
        <w:rPr>
          <w:u w:val="none"/>
        </w:rPr>
      </w:pPr>
      <w:r>
        <w:rPr>
          <w:b w:val="false"/>
          <w:bCs w:val="false"/>
          <w:sz w:val="22"/>
          <w:szCs w:val="22"/>
          <w:u w:val="none"/>
        </w:rPr>
        <w:t xml:space="preserve">C) Pública incondicionada;</w:t>
      </w:r>
    </w:p>
    <w:p>
      <w:pPr>
        <w:pStyle w:val="normal11"/>
        <w:spacing w:lineRule="auto" w:line="240"/>
        <w:jc w:val="both"/>
        <w:rPr>
          <w:u w:val="none"/>
        </w:rPr>
      </w:pPr>
      <w:r>
        <w:rPr>
          <w:b w:val="false"/>
          <w:bCs w:val="false"/>
          <w:sz w:val="22"/>
          <w:szCs w:val="22"/>
          <w:u w:val="none"/>
        </w:rPr>
        <w:t xml:space="preserve">D) Pública condicionada à representação;</w:t>
      </w:r>
    </w:p>
    <w:p>
      <w:pPr>
        <w:pStyle w:val="normal11"/>
        <w:spacing w:lineRule="auto" w:line="240"/>
        <w:jc w:val="both"/>
        <w:rPr>
          <w:u w:val="none"/>
        </w:rPr>
      </w:pPr>
      <w:r>
        <w:rPr>
          <w:b w:val="false"/>
          <w:bCs w:val="false"/>
          <w:sz w:val="22"/>
          <w:szCs w:val="22"/>
          <w:u w:val="none"/>
        </w:rPr>
        <w:t xml:space="preserve">E) Privada, mediante o oferecimento de queixa-crime;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 Nos termos do artigo 24-A da Lei nº 11.340/2006 (Lei Maria da Penha), qual é a regra aplicável à concessão de fiança pela autoridade policial em caso de prisão em flagrante pelo delito de descumprimento de decisão judicial que deferiu medidas protetivas de urgência?</w:t>
      </w:r>
    </w:p>
    <w:p>
      <w:pPr>
        <w:pStyle w:val="normal11"/>
        <w:spacing w:lineRule="auto" w:line="240"/>
        <w:jc w:val="both"/>
        <w:rPr>
          <w:u w:val="none"/>
        </w:rPr>
      </w:pPr>
      <w:r>
        <w:rPr>
          <w:b w:val="false"/>
          <w:bCs w:val="false"/>
          <w:sz w:val="22"/>
          <w:szCs w:val="22"/>
          <w:u w:val="none"/>
        </w:rPr>
        <w:t xml:space="preserve">A) Permitida, considerando que a pena máxima atribuída ao delito não ultrapassa o limitador de 04 anos para o arbitramento de fiança na esfera policial;</w:t>
      </w:r>
    </w:p>
    <w:p>
      <w:pPr>
        <w:pStyle w:val="normal11"/>
        <w:spacing w:lineRule="auto" w:line="240"/>
        <w:jc w:val="both"/>
        <w:rPr>
          <w:u w:val="none"/>
        </w:rPr>
      </w:pPr>
      <w:r>
        <w:rPr>
          <w:b w:val="false"/>
          <w:bCs w:val="false"/>
          <w:sz w:val="22"/>
          <w:szCs w:val="22"/>
          <w:u w:val="none"/>
        </w:rPr>
        <w:t xml:space="preserve">B) Vedada à autoridade policial, em razão de expressa previsão legal;</w:t>
      </w:r>
    </w:p>
    <w:p>
      <w:pPr>
        <w:pStyle w:val="normal11"/>
        <w:spacing w:lineRule="auto" w:line="240"/>
        <w:jc w:val="both"/>
        <w:rPr>
          <w:u w:val="none"/>
        </w:rPr>
      </w:pPr>
      <w:r>
        <w:rPr>
          <w:b w:val="false"/>
          <w:bCs w:val="false"/>
          <w:sz w:val="22"/>
          <w:szCs w:val="22"/>
          <w:u w:val="none"/>
        </w:rPr>
        <w:t xml:space="preserve">C) Vedada a qualquer autoridade por se tratar de delito inafiançável;</w:t>
      </w:r>
    </w:p>
    <w:p>
      <w:pPr>
        <w:pStyle w:val="normal11"/>
        <w:spacing w:lineRule="auto" w:line="240"/>
        <w:jc w:val="both"/>
        <w:rPr>
          <w:u w:val="none"/>
        </w:rPr>
      </w:pPr>
      <w:r>
        <w:rPr>
          <w:b w:val="false"/>
          <w:bCs w:val="false"/>
          <w:sz w:val="22"/>
          <w:szCs w:val="22"/>
          <w:u w:val="none"/>
        </w:rPr>
        <w:t xml:space="preserve">D) Permitida apenas se o agressor for primário e sem antecedentes criminais;</w:t>
      </w:r>
    </w:p>
    <w:p>
      <w:pPr>
        <w:pStyle w:val="normal11"/>
        <w:spacing w:lineRule="auto" w:line="240"/>
        <w:jc w:val="both"/>
        <w:rPr>
          <w:u w:val="none"/>
        </w:rPr>
      </w:pPr>
      <w:r>
        <w:rPr>
          <w:b w:val="false"/>
          <w:bCs w:val="false"/>
          <w:sz w:val="22"/>
          <w:szCs w:val="22"/>
          <w:u w:val="none"/>
        </w:rPr>
        <w:t xml:space="preserve">E) Permitida mediante estipulação de valor a partir de um salário mínimo;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 De acordo com as diretrizes do Manual de Procedimentos de Polícia Judiciária para o atendimento a vítimas de violência sexual, qual deve ser a conduta prioritária da equipe policial quando o fato tiver ocorrido há menos de 72 horas?</w:t>
      </w:r>
    </w:p>
    <w:p>
      <w:pPr>
        <w:pStyle w:val="normal11"/>
        <w:spacing w:lineRule="auto" w:line="240"/>
        <w:jc w:val="both"/>
        <w:rPr>
          <w:u w:val="none"/>
        </w:rPr>
      </w:pPr>
      <w:r>
        <w:rPr>
          <w:b w:val="false"/>
          <w:bCs w:val="false"/>
          <w:sz w:val="22"/>
          <w:szCs w:val="22"/>
          <w:u w:val="none"/>
        </w:rPr>
        <w:t xml:space="preserve">A) Agendar o atendimento hospitalar comum após a conclusão do flagrante ou do inquérito policial;</w:t>
      </w:r>
    </w:p>
    <w:p>
      <w:pPr>
        <w:pStyle w:val="normal11"/>
        <w:spacing w:lineRule="auto" w:line="240"/>
        <w:jc w:val="both"/>
        <w:rPr>
          <w:u w:val="none"/>
        </w:rPr>
      </w:pPr>
      <w:r>
        <w:rPr>
          <w:b w:val="false"/>
          <w:bCs w:val="false"/>
          <w:sz w:val="22"/>
          <w:szCs w:val="22"/>
          <w:u w:val="none"/>
        </w:rPr>
        <w:t xml:space="preserve">B) Colher os depoimentos de todas as testemunhas e coletar todas as provas antes do encaminhamento da vítima para exame pericial;</w:t>
      </w:r>
    </w:p>
    <w:p>
      <w:pPr>
        <w:pStyle w:val="normal11"/>
        <w:spacing w:lineRule="auto" w:line="240"/>
        <w:jc w:val="both"/>
        <w:rPr>
          <w:u w:val="none"/>
        </w:rPr>
      </w:pPr>
      <w:r>
        <w:rPr>
          <w:b w:val="false"/>
          <w:bCs w:val="false"/>
          <w:sz w:val="22"/>
          <w:szCs w:val="22"/>
          <w:u w:val="none"/>
        </w:rPr>
        <w:t xml:space="preserve">C) Encaminhar a vítima prioritariamente ao hospital de referência de saúde.</w:t>
      </w:r>
    </w:p>
    <w:p>
      <w:pPr>
        <w:pStyle w:val="normal11"/>
        <w:spacing w:lineRule="auto" w:line="240"/>
        <w:jc w:val="both"/>
        <w:rPr>
          <w:u w:val="none"/>
        </w:rPr>
      </w:pPr>
      <w:r>
        <w:rPr>
          <w:b w:val="false"/>
          <w:bCs w:val="false"/>
          <w:sz w:val="22"/>
          <w:szCs w:val="22"/>
          <w:u w:val="none"/>
        </w:rPr>
        <w:t xml:space="preserve">D) Encaminhar a vítima imediatamente à sede do Serviço Médico Legal;</w:t>
      </w:r>
    </w:p>
    <w:p>
      <w:pPr>
        <w:pStyle w:val="normal11"/>
        <w:spacing w:lineRule="auto" w:line="240"/>
        <w:jc w:val="both"/>
        <w:rPr>
          <w:u w:val="none"/>
        </w:rPr>
      </w:pPr>
      <w:r>
        <w:rPr>
          <w:b w:val="false"/>
          <w:bCs w:val="false"/>
          <w:sz w:val="22"/>
          <w:szCs w:val="22"/>
          <w:u w:val="none"/>
        </w:rPr>
        <w:t xml:space="preserve">E) Aguardar o decurso de 72 horas, para então encaminhar a vítima ao Serviço Médico Legal;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11. Em 10 de dezembro de 2018 foi publicado o Decreto federal nº 9.603, que regulamenta a Lei nº 13.431, de 4 de abril de 2017, estabelecendo detalhamentos sobre a regulamentação do sistema de garantia de direitos da criança e do adolescente vítima ou testemunha de violência. Considerando as diretrizes legais e regulamentares relativas à realização do depoimento especial e da escuta especializada enumeradas abaixo, assinale a alternativa correta a seguir:  I - Considera-se violência institucional, aquela praticada por instituição pública ou conveniada, inclusive quando gerar revitimização, entendida esta última como discurso ou prática institucional que submeta crianças e adolescentes a procedimentos desnecessários, repetitivos, invasivos, que levem as vítimas ou testemunhas a reviver a situação de violência ou outras situações que gerem sofrimento, estigmatização ou exposição de sua imagem;II - O depoimento especial deverá primar pela não revitimização e pelos limites etários e psicológicos de desenvolvimento da criança ou do adolescente;III - A autoridade policial deverá avaliar se é indispensável a oitiva da criança ou do adolescente, consideradas as demais provas existentes, de forma a preservar sua saúde física e mental e seu desenvolvimento moral, intelectual e social, não sendo facultado à criança ou ao adolescente sua iniciativa de falar ou não sobre a violência sofrida;IV - O depoimento especial deverá ser conduzido por autoridades capacitadas, realizado em ambiente adequado ao desenvolvimento da criança ou do adolescente,  registrando-se integralmente a oitiva da criança ou do adolescente, e em casos de problemas técnicos impeditivos ou de bloqueios emocionais que impeçam a conclusão da oitiva, ela deverá ser reagendada, respeitadas as particularidades da criança ou do adolescente.</w:t>
      </w:r>
    </w:p>
    <w:p>
      <w:pPr>
        <w:pStyle w:val="normal11"/>
        <w:spacing w:lineRule="auto" w:line="240"/>
        <w:jc w:val="both"/>
        <w:rPr>
          <w:u w:val="none"/>
        </w:rPr>
      </w:pPr>
      <w:r>
        <w:rPr>
          <w:b w:val="false"/>
          <w:bCs w:val="false"/>
          <w:sz w:val="22"/>
          <w:szCs w:val="22"/>
          <w:u w:val="none"/>
        </w:rPr>
        <w:t xml:space="preserve">A) Apenas I e IV estão corretas.</w:t>
      </w:r>
    </w:p>
    <w:p>
      <w:pPr>
        <w:pStyle w:val="normal11"/>
        <w:spacing w:lineRule="auto" w:line="240"/>
        <w:jc w:val="both"/>
        <w:rPr>
          <w:u w:val="none"/>
        </w:rPr>
      </w:pPr>
      <w:r>
        <w:rPr>
          <w:b w:val="false"/>
          <w:bCs w:val="false"/>
          <w:sz w:val="22"/>
          <w:szCs w:val="22"/>
          <w:u w:val="none"/>
        </w:rPr>
        <w:t xml:space="preserve">B) Apenas I, II e IV estão corretas.</w:t>
      </w:r>
    </w:p>
    <w:p>
      <w:pPr>
        <w:pStyle w:val="normal11"/>
        <w:spacing w:lineRule="auto" w:line="240"/>
        <w:jc w:val="both"/>
        <w:rPr>
          <w:u w:val="none"/>
        </w:rPr>
      </w:pPr>
      <w:r>
        <w:rPr>
          <w:b w:val="false"/>
          <w:bCs w:val="false"/>
          <w:sz w:val="22"/>
          <w:szCs w:val="22"/>
          <w:u w:val="none"/>
        </w:rPr>
        <w:t xml:space="preserve">C) Apenas II, III e IV estão corretas.</w:t>
      </w:r>
    </w:p>
    <w:p>
      <w:pPr>
        <w:pStyle w:val="normal11"/>
        <w:spacing w:lineRule="auto" w:line="240"/>
        <w:jc w:val="both"/>
        <w:rPr>
          <w:u w:val="none"/>
        </w:rPr>
      </w:pPr>
      <w:r>
        <w:rPr>
          <w:b w:val="false"/>
          <w:bCs w:val="false"/>
          <w:sz w:val="22"/>
          <w:szCs w:val="22"/>
          <w:u w:val="none"/>
        </w:rPr>
        <w:t xml:space="preserve">D) É correto o que se afirma nos itens I, II, III e IV.</w:t>
      </w:r>
    </w:p>
    <w:p>
      <w:pPr>
        <w:pStyle w:val="normal11"/>
        <w:spacing w:lineRule="auto" w:line="240"/>
        <w:jc w:val="both"/>
        <w:rPr>
          <w:u w:val="none"/>
        </w:rPr>
      </w:pPr>
      <w:r>
        <w:rPr>
          <w:b w:val="false"/>
          <w:bCs w:val="false"/>
          <w:sz w:val="22"/>
          <w:szCs w:val="22"/>
          <w:u w:val="none"/>
        </w:rPr>
        <w:t xml:space="preserve">E) Apenas I e II estão corretas.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Incidentes envolvendo exposição de dados podem decorrer tanto de vulnerabilidades técnicas quanto de falhas humanas.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14.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15.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16. Ao assumir a chefia de uma unidade policial, qual documento oficial é de elaboração obrigatória para formalizar a passagem de gestão e mapear o acervo patrimonial da delegacia?</w:t>
      </w:r>
    </w:p>
    <w:p>
      <w:pPr>
        <w:pStyle w:val="normal11"/>
        <w:spacing w:lineRule="auto" w:line="240"/>
        <w:jc w:val="both"/>
        <w:rPr>
          <w:u w:val="none"/>
        </w:rPr>
      </w:pPr>
      <w:r>
        <w:rPr>
          <w:b w:val="false"/>
          <w:bCs w:val="false"/>
          <w:sz w:val="22"/>
          <w:szCs w:val="22"/>
          <w:u w:val="none"/>
        </w:rPr>
        <w:t xml:space="preserve">A) Livro de Registro de Posse.</w:t>
      </w:r>
    </w:p>
    <w:p>
      <w:pPr>
        <w:pStyle w:val="normal11"/>
        <w:spacing w:lineRule="auto" w:line="240"/>
        <w:jc w:val="both"/>
        <w:rPr>
          <w:u w:val="none"/>
        </w:rPr>
      </w:pPr>
      <w:r>
        <w:rPr>
          <w:b w:val="false"/>
          <w:bCs w:val="false"/>
          <w:sz w:val="22"/>
          <w:szCs w:val="22"/>
          <w:u w:val="none"/>
        </w:rPr>
        <w:t xml:space="preserve">B) Termo de Acautelamento.</w:t>
      </w:r>
    </w:p>
    <w:p>
      <w:pPr>
        <w:pStyle w:val="normal11"/>
        <w:spacing w:lineRule="auto" w:line="240"/>
        <w:jc w:val="both"/>
        <w:rPr>
          <w:u w:val="none"/>
        </w:rPr>
      </w:pPr>
      <w:r>
        <w:rPr>
          <w:b w:val="false"/>
          <w:bCs w:val="false"/>
          <w:sz w:val="22"/>
          <w:szCs w:val="22"/>
          <w:u w:val="none"/>
        </w:rPr>
        <w:t xml:space="preserve">C) Termo de Transmissão de Gestão.</w:t>
      </w:r>
    </w:p>
    <w:p>
      <w:pPr>
        <w:pStyle w:val="normal11"/>
        <w:spacing w:lineRule="auto" w:line="240"/>
        <w:jc w:val="both"/>
        <w:rPr>
          <w:u w:val="none"/>
        </w:rPr>
      </w:pPr>
      <w:r>
        <w:rPr>
          <w:b w:val="false"/>
          <w:bCs w:val="false"/>
          <w:sz w:val="22"/>
          <w:szCs w:val="22"/>
          <w:u w:val="none"/>
        </w:rPr>
        <w:t xml:space="preserve">D) Relatório do Fundo Rotativo.</w:t>
      </w:r>
    </w:p>
    <w:p>
      <w:pPr>
        <w:pStyle w:val="normal11"/>
        <w:spacing w:lineRule="auto" w:line="240"/>
        <w:jc w:val="both"/>
        <w:rPr>
          <w:u w:val="none"/>
        </w:rPr>
      </w:pPr>
      <w:r>
        <w:rPr>
          <w:b w:val="false"/>
          <w:bCs w:val="false"/>
          <w:sz w:val="22"/>
          <w:szCs w:val="22"/>
          <w:u w:val="none"/>
        </w:rPr>
        <w:t xml:space="preserve">E) Termo de Posse.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No atendimento ao público em uma delegacia de polícia, qual deve ser a postura inicial da equipe ao receber um cidadão fragilizado por um crime?</w:t>
      </w:r>
    </w:p>
    <w:p>
      <w:pPr>
        <w:pStyle w:val="normal11"/>
        <w:spacing w:lineRule="auto" w:line="240"/>
        <w:jc w:val="both"/>
        <w:rPr>
          <w:u w:val="none"/>
        </w:rPr>
      </w:pPr>
      <w:r>
        <w:rPr>
          <w:b w:val="false"/>
          <w:bCs w:val="false"/>
          <w:sz w:val="22"/>
          <w:szCs w:val="22"/>
          <w:u w:val="none"/>
        </w:rPr>
        <w:t xml:space="preserve">A) Exigir que o cidadão relate o fato em voz alta na recepção.</w:t>
      </w:r>
    </w:p>
    <w:p>
      <w:pPr>
        <w:pStyle w:val="normal11"/>
        <w:spacing w:lineRule="auto" w:line="240"/>
        <w:jc w:val="both"/>
        <w:rPr>
          <w:u w:val="none"/>
        </w:rPr>
      </w:pPr>
      <w:r>
        <w:rPr>
          <w:b w:val="false"/>
          <w:bCs w:val="false"/>
          <w:sz w:val="22"/>
          <w:szCs w:val="22"/>
          <w:u w:val="none"/>
        </w:rPr>
        <w:t xml:space="preserve">B) Oferecer escuta qualificada, urbanidade, empatia e ambiente reservado.</w:t>
      </w:r>
    </w:p>
    <w:p>
      <w:pPr>
        <w:pStyle w:val="normal11"/>
        <w:spacing w:lineRule="auto" w:line="240"/>
        <w:jc w:val="both"/>
        <w:rPr>
          <w:u w:val="none"/>
        </w:rPr>
      </w:pPr>
      <w:r>
        <w:rPr>
          <w:b w:val="false"/>
          <w:bCs w:val="false"/>
          <w:sz w:val="22"/>
          <w:szCs w:val="22"/>
          <w:u w:val="none"/>
        </w:rPr>
        <w:t xml:space="preserve">C) Orientar o cidadão a retornar apenas se tiver provas concretas.</w:t>
      </w:r>
    </w:p>
    <w:p>
      <w:pPr>
        <w:pStyle w:val="normal11"/>
        <w:spacing w:lineRule="auto" w:line="240"/>
        <w:jc w:val="both"/>
        <w:rPr>
          <w:u w:val="none"/>
        </w:rPr>
      </w:pPr>
      <w:r>
        <w:rPr>
          <w:b w:val="false"/>
          <w:bCs w:val="false"/>
          <w:sz w:val="22"/>
          <w:szCs w:val="22"/>
          <w:u w:val="none"/>
        </w:rPr>
        <w:t xml:space="preserve">D) Encaminhá-lo imediatamente para outra delegacia sem ouvir o relato.</w:t>
      </w:r>
    </w:p>
    <w:p>
      <w:pPr>
        <w:pStyle w:val="normal11"/>
        <w:spacing w:lineRule="auto" w:line="240"/>
        <w:jc w:val="both"/>
        <w:rPr>
          <w:u w:val="none"/>
        </w:rPr>
      </w:pPr>
      <w:r>
        <w:rPr>
          <w:b w:val="false"/>
          <w:bCs w:val="false"/>
          <w:sz w:val="22"/>
          <w:szCs w:val="22"/>
          <w:u w:val="none"/>
        </w:rPr>
        <w:t xml:space="preserve">E) Orientá-lo a retornar após o período do almoço se chegar próximo das 12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A prática conhecida como "chute de ocorrência" (recusar o registro de BO sob alegação de competência territorial de outra unidade) é considerada:</w:t>
      </w:r>
    </w:p>
    <w:p>
      <w:pPr>
        <w:pStyle w:val="normal11"/>
        <w:spacing w:lineRule="auto" w:line="240"/>
        <w:jc w:val="both"/>
        <w:rPr>
          <w:u w:val="none"/>
        </w:rPr>
      </w:pPr>
      <w:r>
        <w:rPr>
          <w:b w:val="false"/>
          <w:bCs w:val="false"/>
          <w:sz w:val="22"/>
          <w:szCs w:val="22"/>
          <w:u w:val="none"/>
        </w:rPr>
        <w:t xml:space="preserve">A) Uma boa prática de gestão para reduzir a carga de trabalho.</w:t>
      </w:r>
    </w:p>
    <w:p>
      <w:pPr>
        <w:pStyle w:val="normal11"/>
        <w:spacing w:lineRule="auto" w:line="240"/>
        <w:jc w:val="both"/>
        <w:rPr>
          <w:u w:val="none"/>
        </w:rPr>
      </w:pPr>
      <w:r>
        <w:rPr>
          <w:b w:val="false"/>
          <w:bCs w:val="false"/>
          <w:sz w:val="22"/>
          <w:szCs w:val="22"/>
          <w:u w:val="none"/>
        </w:rPr>
        <w:t xml:space="preserve">B) Uma norma obrigatória do Código de Processo Penal.</w:t>
      </w:r>
    </w:p>
    <w:p>
      <w:pPr>
        <w:pStyle w:val="normal11"/>
        <w:spacing w:lineRule="auto" w:line="240"/>
        <w:jc w:val="both"/>
        <w:rPr>
          <w:u w:val="none"/>
        </w:rPr>
      </w:pPr>
      <w:r>
        <w:rPr>
          <w:b w:val="false"/>
          <w:bCs w:val="false"/>
          <w:sz w:val="22"/>
          <w:szCs w:val="22"/>
          <w:u w:val="none"/>
        </w:rPr>
        <w:t xml:space="preserve">C) Uma atitudo correta diante do Código Disciplinar da Polícia Civil do Paraná.</w:t>
      </w:r>
    </w:p>
    <w:p>
      <w:pPr>
        <w:pStyle w:val="normal11"/>
        <w:spacing w:lineRule="auto" w:line="240"/>
        <w:jc w:val="both"/>
        <w:rPr>
          <w:u w:val="none"/>
        </w:rPr>
      </w:pPr>
      <w:r>
        <w:rPr>
          <w:b w:val="false"/>
          <w:bCs w:val="false"/>
          <w:sz w:val="22"/>
          <w:szCs w:val="22"/>
          <w:u w:val="none"/>
        </w:rPr>
        <w:t xml:space="preserve">D) Uma conduta vedada, devendo a unidade atender, registrar e encaminhar o BOU eletronicamente.</w:t>
      </w:r>
    </w:p>
    <w:p>
      <w:pPr>
        <w:pStyle w:val="normal11"/>
        <w:spacing w:lineRule="auto" w:line="240"/>
        <w:jc w:val="both"/>
        <w:rPr>
          <w:u w:val="none"/>
        </w:rPr>
      </w:pPr>
      <w:r>
        <w:rPr>
          <w:b w:val="false"/>
          <w:bCs w:val="false"/>
          <w:sz w:val="22"/>
          <w:szCs w:val="22"/>
          <w:u w:val="none"/>
        </w:rPr>
        <w:t xml:space="preserve">E) Um procedimento padrão para infrações de menor potencial ofensivo.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19. Para garantir a privacidade e evitar a revitimização no atendimento a pessoas em situação de vulnerabilidade, o ambiente ideal na delegacia é:</w:t>
      </w:r>
    </w:p>
    <w:p>
      <w:pPr>
        <w:pStyle w:val="normal11"/>
        <w:spacing w:lineRule="auto" w:line="240"/>
        <w:jc w:val="both"/>
        <w:rPr>
          <w:u w:val="none"/>
        </w:rPr>
      </w:pPr>
      <w:r>
        <w:rPr>
          <w:b w:val="false"/>
          <w:bCs w:val="false"/>
          <w:sz w:val="22"/>
          <w:szCs w:val="22"/>
          <w:u w:val="none"/>
        </w:rPr>
        <w:t xml:space="preserve">A) Uma sala reservada de atendimento e acolhimento.</w:t>
      </w:r>
    </w:p>
    <w:p>
      <w:pPr>
        <w:pStyle w:val="normal11"/>
        <w:spacing w:lineRule="auto" w:line="240"/>
        <w:jc w:val="both"/>
        <w:rPr>
          <w:u w:val="none"/>
        </w:rPr>
      </w:pPr>
      <w:r>
        <w:rPr>
          <w:b w:val="false"/>
          <w:bCs w:val="false"/>
          <w:sz w:val="22"/>
          <w:szCs w:val="22"/>
          <w:u w:val="none"/>
        </w:rPr>
        <w:t xml:space="preserve">B) O balcão principal de atendimento no saguão de entrada.</w:t>
      </w:r>
    </w:p>
    <w:p>
      <w:pPr>
        <w:pStyle w:val="normal11"/>
        <w:spacing w:lineRule="auto" w:line="240"/>
        <w:jc w:val="both"/>
        <w:rPr>
          <w:u w:val="none"/>
        </w:rPr>
      </w:pPr>
      <w:r>
        <w:rPr>
          <w:b w:val="false"/>
          <w:bCs w:val="false"/>
          <w:sz w:val="22"/>
          <w:szCs w:val="22"/>
          <w:u w:val="none"/>
        </w:rPr>
        <w:t xml:space="preserve">C) O corredor de acesso à carceragem.</w:t>
      </w:r>
    </w:p>
    <w:p>
      <w:pPr>
        <w:pStyle w:val="normal11"/>
        <w:spacing w:lineRule="auto" w:line="240"/>
        <w:jc w:val="both"/>
        <w:rPr>
          <w:u w:val="none"/>
        </w:rPr>
      </w:pPr>
      <w:r>
        <w:rPr>
          <w:b w:val="false"/>
          <w:bCs w:val="false"/>
          <w:sz w:val="22"/>
          <w:szCs w:val="22"/>
          <w:u w:val="none"/>
        </w:rPr>
        <w:t xml:space="preserve">D) A sala do setor de investigações junto com demais servidores.</w:t>
      </w:r>
    </w:p>
    <w:p>
      <w:pPr>
        <w:pStyle w:val="normal11"/>
        <w:spacing w:lineRule="auto" w:line="240"/>
        <w:jc w:val="both"/>
        <w:rPr>
          <w:u w:val="none"/>
        </w:rPr>
      </w:pPr>
      <w:r>
        <w:rPr>
          <w:b w:val="false"/>
          <w:bCs w:val="false"/>
          <w:sz w:val="22"/>
          <w:szCs w:val="22"/>
          <w:u w:val="none"/>
        </w:rPr>
        <w:t xml:space="preserve">E) Do lado de fora, visando garantir que ninguém ouça a conversa.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20.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21.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22. A Lei Complementar Estadual nº 259/2023 promoveu uma importante reorganização no Quadro Próprio daPolícia Civil do Paraná (QPPC), transformando e unificando antigos cargos de base em uma nova carreira denível superior. A unificação abrangeu os antigos cargos de:</w:t>
      </w:r>
    </w:p>
    <w:p>
      <w:pPr>
        <w:pStyle w:val="normal11"/>
        <w:spacing w:lineRule="auto" w:line="240"/>
        <w:jc w:val="both"/>
        <w:rPr>
          <w:u w:val="none"/>
        </w:rPr>
      </w:pPr>
      <w:r>
        <w:rPr>
          <w:b w:val="false"/>
          <w:bCs w:val="false"/>
          <w:sz w:val="22"/>
          <w:szCs w:val="22"/>
          <w:u w:val="none"/>
        </w:rPr>
        <w:t xml:space="preserve">A) Papiloscopista Policial e Agente de Operações Policiais.</w:t>
      </w:r>
    </w:p>
    <w:p>
      <w:pPr>
        <w:pStyle w:val="normal11"/>
        <w:spacing w:lineRule="auto" w:line="240"/>
        <w:jc w:val="both"/>
        <w:rPr>
          <w:u w:val="none"/>
        </w:rPr>
      </w:pPr>
      <w:r>
        <w:rPr>
          <w:b w:val="false"/>
          <w:bCs w:val="false"/>
          <w:sz w:val="22"/>
          <w:szCs w:val="22"/>
          <w:u w:val="none"/>
        </w:rPr>
        <w:t xml:space="preserve">B) Delegado de Polícia e Perito Criminal.</w:t>
      </w:r>
    </w:p>
    <w:p>
      <w:pPr>
        <w:pStyle w:val="normal11"/>
        <w:spacing w:lineRule="auto" w:line="240"/>
        <w:jc w:val="both"/>
        <w:rPr>
          <w:u w:val="none"/>
        </w:rPr>
      </w:pPr>
      <w:r>
        <w:rPr>
          <w:b w:val="false"/>
          <w:bCs w:val="false"/>
          <w:sz w:val="22"/>
          <w:szCs w:val="22"/>
          <w:u w:val="none"/>
        </w:rPr>
        <w:t xml:space="preserve">C) Investigador de Polícia e Escrivão de Polícia (gerando o cargo de Agente de Polícia Judiciária).</w:t>
      </w:r>
    </w:p>
    <w:p>
      <w:pPr>
        <w:pStyle w:val="normal11"/>
        <w:spacing w:lineRule="auto" w:line="240"/>
        <w:jc w:val="both"/>
        <w:rPr>
          <w:u w:val="none"/>
        </w:rPr>
      </w:pPr>
      <w:r>
        <w:rPr>
          <w:b w:val="false"/>
          <w:bCs w:val="false"/>
          <w:sz w:val="22"/>
          <w:szCs w:val="22"/>
          <w:u w:val="none"/>
        </w:rPr>
        <w:t xml:space="preserve">D) Agente de Cadeia e Guarda Municipal.</w:t>
      </w:r>
    </w:p>
    <w:p>
      <w:pPr>
        <w:pStyle w:val="normal11"/>
        <w:spacing w:lineRule="auto" w:line="240"/>
        <w:jc w:val="both"/>
        <w:rPr>
          <w:u w:val="none"/>
        </w:rPr>
      </w:pPr>
      <w:r>
        <w:rPr>
          <w:b w:val="false"/>
          <w:bCs w:val="false"/>
          <w:sz w:val="22"/>
          <w:szCs w:val="22"/>
          <w:u w:val="none"/>
        </w:rPr>
        <w:t xml:space="preserve">E) Auxiliar de Necropsia e Médico Legista.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23. De acordo com a Lei Orgânica da Polícia Civil do Estado do Paraná (Lei Estadual nº 23.213/2026), aestrutura organizacional básica da PCPR é dividida em quatro Níveis Funcionais. Qual dos órgãos a seguirintegra o Nível Instrumental da instituição?</w:t>
      </w:r>
    </w:p>
    <w:p>
      <w:pPr>
        <w:pStyle w:val="normal11"/>
        <w:spacing w:lineRule="auto" w:line="240"/>
        <w:jc w:val="both"/>
        <w:rPr>
          <w:u w:val="none"/>
        </w:rPr>
      </w:pPr>
      <w:r>
        <w:rPr>
          <w:b w:val="false"/>
          <w:bCs w:val="false"/>
          <w:sz w:val="22"/>
          <w:szCs w:val="22"/>
          <w:u w:val="none"/>
        </w:rPr>
        <w:t xml:space="preserve">A) Conselho Superior de Polícia (CSP).</w:t>
      </w:r>
    </w:p>
    <w:p>
      <w:pPr>
        <w:pStyle w:val="normal11"/>
        <w:spacing w:lineRule="auto" w:line="240"/>
        <w:jc w:val="both"/>
        <w:rPr>
          <w:u w:val="none"/>
        </w:rPr>
      </w:pPr>
      <w:r>
        <w:rPr>
          <w:b w:val="false"/>
          <w:bCs w:val="false"/>
          <w:sz w:val="22"/>
          <w:szCs w:val="22"/>
          <w:u w:val="none"/>
        </w:rPr>
        <w:t xml:space="preserve">B) Corregedoria-Geral de Polícia (CGP).</w:t>
      </w:r>
    </w:p>
    <w:p>
      <w:pPr>
        <w:pStyle w:val="normal11"/>
        <w:spacing w:lineRule="auto" w:line="240"/>
        <w:jc w:val="both"/>
        <w:rPr>
          <w:u w:val="none"/>
        </w:rPr>
      </w:pPr>
      <w:r>
        <w:rPr>
          <w:b w:val="false"/>
          <w:bCs w:val="false"/>
          <w:sz w:val="22"/>
          <w:szCs w:val="22"/>
          <w:u w:val="none"/>
        </w:rPr>
        <w:t xml:space="preserve">C) Delegacia-Geral (DG/PCPR).</w:t>
      </w:r>
    </w:p>
    <w:p>
      <w:pPr>
        <w:pStyle w:val="normal11"/>
        <w:spacing w:lineRule="auto" w:line="240"/>
        <w:jc w:val="both"/>
        <w:rPr>
          <w:u w:val="none"/>
        </w:rPr>
      </w:pPr>
      <w:r>
        <w:rPr>
          <w:b w:val="false"/>
          <w:bCs w:val="false"/>
          <w:sz w:val="22"/>
          <w:szCs w:val="22"/>
          <w:u w:val="none"/>
        </w:rPr>
        <w:t xml:space="preserve">D) Escola Superior de Polícia Civil (ESPC).</w:t>
      </w:r>
    </w:p>
    <w:p>
      <w:pPr>
        <w:pStyle w:val="normal11"/>
        <w:spacing w:lineRule="auto" w:line="240"/>
        <w:jc w:val="both"/>
        <w:rPr>
          <w:u w:val="none"/>
        </w:rPr>
      </w:pPr>
      <w:r>
        <w:rPr>
          <w:b w:val="false"/>
          <w:bCs w:val="false"/>
          <w:sz w:val="22"/>
          <w:szCs w:val="22"/>
          <w:u w:val="none"/>
        </w:rPr>
        <w:t xml:space="preserve">E) Chefia de Gabinete (CG/DG).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PROCESSO ADMINISTRATIVO DE APURAÇÃO DE RESPONSABILIDADE - PAAR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27. Conforme disposto na Lei Estadual nº 21.352/2023, que versa sobre a organização administrativa básica doPoder Executivo do Estado do Paraná, e no Decreto Estadual nº 8.301/2024, assinale a alternativaCORRETA a respeito da competência e competências dos Secretários de Estado (incluindo o Secretário deEstado da Segurança Pública – SESP):</w:t>
      </w:r>
    </w:p>
    <w:p>
      <w:pPr>
        <w:pStyle w:val="normal11"/>
        <w:spacing w:lineRule="auto" w:line="240"/>
        <w:jc w:val="both"/>
        <w:rPr>
          <w:u w:val="none"/>
        </w:rPr>
      </w:pPr>
      <w:r>
        <w:rPr>
          <w:b w:val="false"/>
          <w:bCs w:val="false"/>
          <w:sz w:val="22"/>
          <w:szCs w:val="22"/>
          <w:u w:val="none"/>
        </w:rPr>
        <w:t xml:space="preserve">A) É vedado ao Secretário de Estado a aplicação de punições disciplinares no âmbito de sua pasta, devendo tal ato ser de competência exclusiva e indelegável do Governador do Estado.</w:t>
      </w:r>
    </w:p>
    <w:p>
      <w:pPr>
        <w:pStyle w:val="normal11"/>
        <w:spacing w:lineRule="auto" w:line="240"/>
        <w:jc w:val="both"/>
        <w:rPr>
          <w:u w:val="none"/>
        </w:rPr>
      </w:pPr>
      <w:r>
        <w:rPr>
          <w:b w:val="false"/>
          <w:bCs w:val="false"/>
          <w:sz w:val="22"/>
          <w:szCs w:val="22"/>
          <w:u w:val="none"/>
        </w:rPr>
        <w:t xml:space="preserve">B) Ao Secretário de Estado compete, entre outras atribuições, determinar a instauração de sindicância e processo administrativo, bem como apreciar, em grau de recurso, quaisquer decisões no âmbito da pasta e das entidades a ela vinculadas.</w:t>
      </w:r>
    </w:p>
    <w:p>
      <w:pPr>
        <w:pStyle w:val="normal11"/>
        <w:spacing w:lineRule="auto" w:line="240"/>
        <w:jc w:val="both"/>
        <w:rPr>
          <w:u w:val="none"/>
        </w:rPr>
      </w:pPr>
      <w:r>
        <w:rPr>
          <w:b w:val="false"/>
          <w:bCs w:val="false"/>
          <w:sz w:val="22"/>
          <w:szCs w:val="22"/>
          <w:u w:val="none"/>
        </w:rPr>
        <w:t xml:space="preserve">C) A Secretaria de Estado da Segurança Pública (SESP) possui personalidade jurídica própria, atuando com total autonomia sem subordinar-se direta ou indiretamente ao Chefe do Poder Executivo.</w:t>
      </w:r>
    </w:p>
    <w:p>
      <w:pPr>
        <w:pStyle w:val="normal11"/>
        <w:spacing w:lineRule="auto" w:line="240"/>
        <w:jc w:val="both"/>
        <w:rPr>
          <w:u w:val="none"/>
        </w:rPr>
      </w:pPr>
      <w:r>
        <w:rPr>
          <w:b w:val="false"/>
          <w:bCs w:val="false"/>
          <w:sz w:val="22"/>
          <w:szCs w:val="22"/>
          <w:u w:val="none"/>
        </w:rPr>
        <w:t xml:space="preserve">D) Os órgãos de assessoramento direto ao Governador possuem hierarquia superior às Secretarias de Estado, impedindo que Secretários apreciem recursos administrativos.</w:t>
      </w:r>
    </w:p>
    <w:p>
      <w:pPr>
        <w:pStyle w:val="normal11"/>
        <w:spacing w:lineRule="auto" w:line="240"/>
        <w:jc w:val="both"/>
        <w:rPr>
          <w:u w:val="none"/>
        </w:rPr>
      </w:pPr>
      <w:r>
        <w:rPr>
          <w:b w:val="false"/>
          <w:bCs w:val="false"/>
          <w:sz w:val="22"/>
          <w:szCs w:val="22"/>
          <w:u w:val="none"/>
        </w:rPr>
        <w:t xml:space="preserve">E) A autorização para abertura ou homologação de processos licitatórios é atribuição privativa e exclusiva do Tribunal de Contas do Estado (TCE/PR), não competindo ao Secretário da pasta.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28. De acordo com o Decreto Estadual nº 7.304/2021, mencionado no material da disciplina, qual é o sistemaoficial de gestão, emissão e remessa de documentos do Estado do Paraná, no qual os atos administrativose ofícios devem ser assinados eletronicamente pelos Policiais e Gestores?</w:t>
      </w:r>
    </w:p>
    <w:p>
      <w:pPr>
        <w:pStyle w:val="normal11"/>
        <w:spacing w:lineRule="auto" w:line="240"/>
        <w:jc w:val="both"/>
        <w:rPr>
          <w:u w:val="none"/>
        </w:rPr>
      </w:pPr>
      <w:r>
        <w:rPr>
          <w:b w:val="false"/>
          <w:bCs w:val="false"/>
          <w:sz w:val="22"/>
          <w:szCs w:val="22"/>
          <w:u w:val="none"/>
        </w:rPr>
        <w:t xml:space="preserve">A) Sistema de Gestão de Contratos e Compras do Governo Federal (Comprasnet).</w:t>
      </w:r>
    </w:p>
    <w:p>
      <w:pPr>
        <w:pStyle w:val="normal11"/>
        <w:spacing w:lineRule="auto" w:line="240"/>
        <w:jc w:val="both"/>
        <w:rPr>
          <w:u w:val="none"/>
        </w:rPr>
      </w:pPr>
      <w:r>
        <w:rPr>
          <w:b w:val="false"/>
          <w:bCs w:val="false"/>
          <w:sz w:val="22"/>
          <w:szCs w:val="22"/>
          <w:u w:val="none"/>
        </w:rPr>
        <w:t xml:space="preserve">B) Sistema Integrado de Documentos e-Protocolo.</w:t>
      </w:r>
    </w:p>
    <w:p>
      <w:pPr>
        <w:pStyle w:val="normal11"/>
        <w:spacing w:lineRule="auto" w:line="240"/>
        <w:jc w:val="both"/>
        <w:rPr>
          <w:u w:val="none"/>
        </w:rPr>
      </w:pPr>
      <w:r>
        <w:rPr>
          <w:b w:val="false"/>
          <w:bCs w:val="false"/>
          <w:sz w:val="22"/>
          <w:szCs w:val="22"/>
          <w:u w:val="none"/>
        </w:rPr>
        <w:t xml:space="preserve">C) Sistema de Polícia Judiciária Unificada (PJU).</w:t>
      </w:r>
    </w:p>
    <w:p>
      <w:pPr>
        <w:pStyle w:val="normal11"/>
        <w:spacing w:lineRule="auto" w:line="240"/>
        <w:jc w:val="both"/>
        <w:rPr>
          <w:u w:val="none"/>
        </w:rPr>
      </w:pPr>
      <w:r>
        <w:rPr>
          <w:b w:val="false"/>
          <w:bCs w:val="false"/>
          <w:sz w:val="22"/>
          <w:szCs w:val="22"/>
          <w:u w:val="none"/>
        </w:rPr>
        <w:t xml:space="preserve">D) Protocolo Físico em Papel e Arquivo Público Estadual.</w:t>
      </w:r>
    </w:p>
    <w:p>
      <w:pPr>
        <w:pStyle w:val="normal11"/>
        <w:spacing w:lineRule="auto" w:line="240"/>
        <w:jc w:val="both"/>
        <w:rPr>
          <w:u w:val="none"/>
        </w:rPr>
      </w:pPr>
      <w:r>
        <w:rPr>
          <w:b w:val="false"/>
          <w:bCs w:val="false"/>
          <w:sz w:val="22"/>
          <w:szCs w:val="22"/>
          <w:u w:val="none"/>
        </w:rPr>
        <w:t xml:space="preserve">E) Sistema de Correios e Malotes Físicos da PCPR.</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29.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30.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e editar o vídeo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31. Alguns autores apresentam a progressão do desenvolvimento do estado paranaense em diferentes ciclos, como se efetivamente existissem “três Paranás”. Assim, teremos:</w:t>
        <w:br/>
        <w:t xml:space="preserve">(1) Paraná Tradicional (2) Paraná do Norte ou Pioneiro (3) Paraná do Sudoeste ou Novíssimo</w:t>
        <w:br/>
        <w:t xml:space="preserve">Associe as regiões do estado descritas na coluna a seguir às suas respectivas características históricas e socioeconômicas:</w:t>
        <w:br/>
        <w:t xml:space="preserve">( ) Região que se desenvolveu através das lavouras de café, com muitos trabalhadores e colonização vinda dos estados de São Paulo e Minas Gerais, a ponto das localidades da região serem parecidas com as dos interiores destes estados.</w:t>
        <w:br/>
        <w:t xml:space="preserve">( ) Região com cidades que surgiram ao longo da rota do tropeirismo, com mão de obra de escravizados africanos e fazendas de criação de gado. A população formada, em geral, tem seu círculo social marcado pelo contato fechado entre familiares e vizinhos.</w:t>
        <w:br/>
        <w:t xml:space="preserve">( ) Colonização ocorrida ao longo do século XX, advinda do ciclo da Madeira, e projetos de povoamento e desenvolvimento da década de 70. A atividade agropecuária predominante é o plantation, e na região tem ocorrido conflitos pela posse da terra. As características da população são semelhantes às da população gaúcha.</w:t>
        <w:br/>
        <w:t xml:space="preserve">A correspondência correta da segunda coluna com os números advindos da primeira é:</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2, 1, 3.</w:t>
      </w:r>
    </w:p>
    <w:p>
      <w:pPr>
        <w:pStyle w:val="normal11"/>
        <w:spacing w:lineRule="auto" w:line="240"/>
        <w:jc w:val="both"/>
        <w:rPr>
          <w:u w:val="none"/>
        </w:rPr>
      </w:pPr>
      <w:r>
        <w:rPr>
          <w:b w:val="false"/>
          <w:bCs w:val="false"/>
          <w:sz w:val="22"/>
          <w:szCs w:val="22"/>
          <w:u w:val="none"/>
        </w:rPr>
        <w:t xml:space="preserve">B) 2, 3, 1.</w:t>
      </w:r>
    </w:p>
    <w:p>
      <w:pPr>
        <w:pStyle w:val="normal11"/>
        <w:spacing w:lineRule="auto" w:line="240"/>
        <w:jc w:val="both"/>
        <w:rPr>
          <w:u w:val="none"/>
        </w:rPr>
      </w:pPr>
      <w:r>
        <w:rPr>
          <w:b w:val="false"/>
          <w:bCs w:val="false"/>
          <w:sz w:val="22"/>
          <w:szCs w:val="22"/>
          <w:u w:val="none"/>
        </w:rPr>
        <w:t xml:space="preserve">C) 1, 2, 3.</w:t>
      </w:r>
    </w:p>
    <w:p>
      <w:pPr>
        <w:pStyle w:val="normal11"/>
        <w:spacing w:lineRule="auto" w:line="240"/>
        <w:jc w:val="both"/>
        <w:rPr>
          <w:u w:val="none"/>
        </w:rPr>
      </w:pPr>
      <w:r>
        <w:rPr>
          <w:b w:val="false"/>
          <w:bCs w:val="false"/>
          <w:sz w:val="22"/>
          <w:szCs w:val="22"/>
          <w:u w:val="none"/>
        </w:rPr>
        <w:t xml:space="preserve">D) 3, 2, 1.</w:t>
      </w:r>
    </w:p>
    <w:p>
      <w:pPr>
        <w:pStyle w:val="normal11"/>
        <w:spacing w:lineRule="auto" w:line="240"/>
        <w:jc w:val="both"/>
        <w:rPr>
          <w:u w:val="none"/>
        </w:rPr>
      </w:pPr>
      <w:r>
        <w:rPr>
          <w:b w:val="false"/>
          <w:bCs w:val="false"/>
          <w:sz w:val="22"/>
          <w:szCs w:val="22"/>
          <w:u w:val="none"/>
        </w:rPr>
        <w:t xml:space="preserve">E) 1, 3, 2.</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32. No âmbito da Polícia Civil, o afastamento do sigilo bancário é implementado com o auxílio do Sistema de Investigação de Movimentações Bancárias (SIMBA). Assinale a alternativa correta:</w:t>
      </w:r>
    </w:p>
    <w:p>
      <w:pPr>
        <w:pStyle w:val="normal11"/>
        <w:spacing w:lineRule="auto" w:line="240"/>
        <w:jc w:val="both"/>
        <w:rPr>
          <w:u w:val="none"/>
        </w:rPr>
      </w:pPr>
      <w:r>
        <w:rPr>
          <w:b w:val="false"/>
          <w:bCs w:val="false"/>
          <w:sz w:val="22"/>
          <w:szCs w:val="22"/>
          <w:u w:val="none"/>
        </w:rPr>
        <w:t xml:space="preserve">A) O sistema possibilita a transmissão e recepção, em meio digital, de dados bancários, fiscais e telemáticos.</w:t>
      </w:r>
    </w:p>
    <w:p>
      <w:pPr>
        <w:pStyle w:val="normal11"/>
        <w:spacing w:lineRule="auto" w:line="240"/>
        <w:jc w:val="both"/>
        <w:rPr>
          <w:u w:val="none"/>
        </w:rPr>
      </w:pPr>
      <w:r>
        <w:rPr>
          <w:b w:val="false"/>
          <w:bCs w:val="false"/>
          <w:sz w:val="22"/>
          <w:szCs w:val="22"/>
          <w:u w:val="none"/>
        </w:rPr>
        <w:t xml:space="preserve">B) A utilização do SIMBA dispensa a necessidade de autorização judicial para o recebimento dos dados bancários, proporcionando maior agilidade no afastamento do sigilo.</w:t>
      </w:r>
    </w:p>
    <w:p>
      <w:pPr>
        <w:pStyle w:val="normal11"/>
        <w:spacing w:lineRule="auto" w:line="240"/>
        <w:jc w:val="both"/>
        <w:rPr>
          <w:u w:val="none"/>
        </w:rPr>
      </w:pPr>
      <w:r>
        <w:rPr>
          <w:b w:val="false"/>
          <w:bCs w:val="false"/>
          <w:sz w:val="22"/>
          <w:szCs w:val="22"/>
          <w:u w:val="none"/>
        </w:rPr>
        <w:t xml:space="preserve">C) Para implementar o afastamento do sigilo bancário, a autoridade policial deverá, primeiramente, providenciar a abertura de um caso no sistema SIMBA, seja por intermédio do LAB-LD ou acessando diretamente o sistema.</w:t>
      </w:r>
    </w:p>
    <w:p>
      <w:pPr>
        <w:pStyle w:val="normal11"/>
        <w:spacing w:lineRule="auto" w:line="240"/>
        <w:jc w:val="both"/>
        <w:rPr>
          <w:u w:val="none"/>
        </w:rPr>
      </w:pPr>
      <w:r>
        <w:rPr>
          <w:b w:val="false"/>
          <w:bCs w:val="false"/>
          <w:sz w:val="22"/>
          <w:szCs w:val="22"/>
          <w:u w:val="none"/>
        </w:rPr>
        <w:t xml:space="preserve">D) Para cadastrar um caso no SIMBA, basta relacionar apenas os nomes dos alvos da investigação.</w:t>
      </w:r>
    </w:p>
    <w:p>
      <w:pPr>
        <w:pStyle w:val="normal11"/>
        <w:spacing w:lineRule="auto" w:line="240"/>
        <w:jc w:val="both"/>
        <w:rPr>
          <w:u w:val="none"/>
        </w:rPr>
      </w:pPr>
      <w:r>
        <w:rPr>
          <w:b w:val="false"/>
          <w:bCs w:val="false"/>
          <w:sz w:val="22"/>
          <w:szCs w:val="22"/>
          <w:u w:val="none"/>
        </w:rPr>
        <w:t xml:space="preserve">E) A solicitação dos extratos bancários ainda deverá ser efetuada pela autoridade policial às instituições financeiras.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33. O RIF — Relatório de Inteligência Financeira — é um importante instrumento de auxílio à investigação de lavagem de dinheiro. Sobre a solicitação do RIF, assinale a alternativa correta:</w:t>
      </w:r>
    </w:p>
    <w:p>
      <w:pPr>
        <w:pStyle w:val="normal11"/>
        <w:spacing w:lineRule="auto" w:line="240"/>
        <w:jc w:val="both"/>
        <w:rPr>
          <w:u w:val="none"/>
        </w:rPr>
      </w:pPr>
      <w:r>
        <w:rPr>
          <w:b w:val="false"/>
          <w:bCs w:val="false"/>
          <w:sz w:val="22"/>
          <w:szCs w:val="22"/>
          <w:u w:val="none"/>
        </w:rPr>
        <w:t xml:space="preserve">A) Atualmente, o RIF pode ser solicitado tanto pela autoridade policial quanto pelo agente de polícia judiciária atuante na investigação.</w:t>
      </w:r>
    </w:p>
    <w:p>
      <w:pPr>
        <w:pStyle w:val="normal11"/>
        <w:spacing w:lineRule="auto" w:line="240"/>
        <w:jc w:val="both"/>
        <w:rPr>
          <w:u w:val="none"/>
        </w:rPr>
      </w:pPr>
      <w:r>
        <w:rPr>
          <w:b w:val="false"/>
          <w:bCs w:val="false"/>
          <w:sz w:val="22"/>
          <w:szCs w:val="22"/>
          <w:u w:val="none"/>
        </w:rPr>
        <w:t xml:space="preserve">B) Não é necessário demonstrar a pertinência entre o conteúdo solicitado e o objeto do procedimento formal.</w:t>
      </w:r>
    </w:p>
    <w:p>
      <w:pPr>
        <w:pStyle w:val="normal11"/>
        <w:spacing w:lineRule="auto" w:line="240"/>
        <w:jc w:val="both"/>
        <w:rPr>
          <w:u w:val="none"/>
        </w:rPr>
      </w:pPr>
      <w:r>
        <w:rPr>
          <w:b w:val="false"/>
          <w:bCs w:val="false"/>
          <w:sz w:val="22"/>
          <w:szCs w:val="22"/>
          <w:u w:val="none"/>
        </w:rPr>
        <w:t xml:space="preserve">C) O entendimento mais moderno admite que o RIF pode ser solicitado com fundamento apenas em boletim de ocorrência devidamente registrado em uma unidade policial, independentemente da infração penal noticiada.</w:t>
      </w:r>
    </w:p>
    <w:p>
      <w:pPr>
        <w:pStyle w:val="normal11"/>
        <w:spacing w:lineRule="auto" w:line="240"/>
        <w:jc w:val="both"/>
        <w:rPr>
          <w:u w:val="none"/>
        </w:rPr>
      </w:pPr>
      <w:r>
        <w:rPr>
          <w:b w:val="false"/>
          <w:bCs w:val="false"/>
          <w:sz w:val="22"/>
          <w:szCs w:val="22"/>
          <w:u w:val="none"/>
        </w:rPr>
        <w:t xml:space="preserve">D) A autoridade policial deverá indicar expressamente que as pessoas relacionadas na consulta figuram formalmente como investigadas ou estão sujeitas a procedimento sancionador.</w:t>
      </w:r>
    </w:p>
    <w:p>
      <w:pPr>
        <w:pStyle w:val="normal11"/>
        <w:spacing w:lineRule="auto" w:line="240"/>
        <w:jc w:val="both"/>
        <w:rPr>
          <w:u w:val="none"/>
        </w:rPr>
      </w:pPr>
      <w:r>
        <w:rPr>
          <w:b w:val="false"/>
          <w:bCs w:val="false"/>
          <w:sz w:val="22"/>
          <w:szCs w:val="22"/>
          <w:u w:val="none"/>
        </w:rPr>
        <w:t xml:space="preserve">E) Na solicitação do RIF, não é necessário descrever o nexo causal entre os indícios apresentados e as pessoas consultadas, pois essa relação será devidamente apurada na investigação policial.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34. O Sistema de Investigação de Movimentações Bancárias (SIMBA) gera um código de identificação ao final do cadastramento do novo caso. Assinale a alternativa correta:</w:t>
      </w:r>
    </w:p>
    <w:p>
      <w:pPr>
        <w:pStyle w:val="normal11"/>
        <w:spacing w:lineRule="auto" w:line="240"/>
        <w:jc w:val="both"/>
        <w:rPr>
          <w:u w:val="none"/>
        </w:rPr>
      </w:pPr>
      <w:r>
        <w:rPr>
          <w:b w:val="false"/>
          <w:bCs w:val="false"/>
          <w:sz w:val="22"/>
          <w:szCs w:val="22"/>
          <w:u w:val="none"/>
        </w:rPr>
        <w:t xml:space="preserve">A) A autoridade policial poderá utilizar o mesmo código do caso SIMBA em outros procedimentos investigatórios.</w:t>
      </w:r>
    </w:p>
    <w:p>
      <w:pPr>
        <w:pStyle w:val="normal11"/>
        <w:spacing w:lineRule="auto" w:line="240"/>
        <w:jc w:val="both"/>
        <w:rPr>
          <w:u w:val="none"/>
        </w:rPr>
      </w:pPr>
      <w:r>
        <w:rPr>
          <w:b w:val="false"/>
          <w:bCs w:val="false"/>
          <w:sz w:val="22"/>
          <w:szCs w:val="22"/>
          <w:u w:val="none"/>
        </w:rPr>
        <w:t xml:space="preserve">B) O código do caso SIMBA poderá ser compartilhado com outros colegas com o intuito de agilizar o trabalho policial.</w:t>
      </w:r>
    </w:p>
    <w:p>
      <w:pPr>
        <w:pStyle w:val="normal11"/>
        <w:spacing w:lineRule="auto" w:line="240"/>
        <w:jc w:val="both"/>
        <w:rPr>
          <w:u w:val="none"/>
        </w:rPr>
      </w:pPr>
      <w:r>
        <w:rPr>
          <w:b w:val="false"/>
          <w:bCs w:val="false"/>
          <w:sz w:val="22"/>
          <w:szCs w:val="22"/>
          <w:u w:val="none"/>
        </w:rPr>
        <w:t xml:space="preserve">C) Não é necessário informar o código do caso SIMBA na representação judicial de afastamento do sigilo bancário, pois o magistrado terá conhecimento automático dessa informação.</w:t>
      </w:r>
    </w:p>
    <w:p>
      <w:pPr>
        <w:pStyle w:val="normal11"/>
        <w:spacing w:lineRule="auto" w:line="240"/>
        <w:jc w:val="both"/>
        <w:rPr>
          <w:u w:val="none"/>
        </w:rPr>
      </w:pPr>
      <w:r>
        <w:rPr>
          <w:b w:val="false"/>
          <w:bCs w:val="false"/>
          <w:sz w:val="22"/>
          <w:szCs w:val="22"/>
          <w:u w:val="none"/>
        </w:rPr>
        <w:t xml:space="preserve">D) O código do caso é um elemento dispensável, utilizado apenas para controle interno, pois os dados bancários serão recebidos pelo SIMBA/PCPR mesmo sem ele.</w:t>
      </w:r>
    </w:p>
    <w:p>
      <w:pPr>
        <w:pStyle w:val="normal11"/>
        <w:spacing w:lineRule="auto" w:line="240"/>
        <w:jc w:val="both"/>
        <w:rPr>
          <w:u w:val="none"/>
        </w:rPr>
      </w:pPr>
      <w:r>
        <w:rPr>
          <w:b w:val="false"/>
          <w:bCs w:val="false"/>
          <w:sz w:val="22"/>
          <w:szCs w:val="22"/>
          <w:u w:val="none"/>
        </w:rPr>
        <w:t xml:space="preserve">E) O código é elemento de identificação único, não compartilhável e necessário para que os dados bancários sejam corretamente transmitidos pelas instituições financeiras e recepcionados pelo SIMBA do órgão destinatário.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35. De acordo com a apresentação, as plataformas fornecem diferentes conjuntos de dados dependendo de a requisição ser extrajudicial ou judicial. Qual das seguintes informações o WhatsApp fornece apenas mediante ordem judicial?</w:t>
      </w:r>
    </w:p>
    <w:p>
      <w:pPr>
        <w:pStyle w:val="normal11"/>
        <w:spacing w:lineRule="auto" w:line="240"/>
        <w:jc w:val="both"/>
        <w:rPr>
          <w:u w:val="none"/>
        </w:rPr>
      </w:pPr>
      <w:r>
        <w:rPr>
          <w:b w:val="false"/>
          <w:bCs w:val="false"/>
          <w:sz w:val="22"/>
          <w:szCs w:val="22"/>
          <w:u w:val="none"/>
        </w:rPr>
        <w:t xml:space="preserve">A) A lista de contatos simétrica e assimétrica.</w:t>
      </w:r>
    </w:p>
    <w:p>
      <w:pPr>
        <w:pStyle w:val="normal11"/>
        <w:spacing w:lineRule="auto" w:line="240"/>
        <w:jc w:val="both"/>
        <w:rPr>
          <w:u w:val="none"/>
        </w:rPr>
      </w:pPr>
      <w:r>
        <w:rPr>
          <w:b w:val="false"/>
          <w:bCs w:val="false"/>
          <w:sz w:val="22"/>
          <w:szCs w:val="22"/>
          <w:u w:val="none"/>
        </w:rPr>
        <w:t xml:space="preserve">B) A data e o horário do registro da conta.</w:t>
      </w:r>
    </w:p>
    <w:p>
      <w:pPr>
        <w:pStyle w:val="normal11"/>
        <w:spacing w:lineRule="auto" w:line="240"/>
        <w:jc w:val="both"/>
        <w:rPr>
          <w:u w:val="none"/>
        </w:rPr>
      </w:pPr>
      <w:r>
        <w:rPr>
          <w:b w:val="false"/>
          <w:bCs w:val="false"/>
          <w:sz w:val="22"/>
          <w:szCs w:val="22"/>
          <w:u w:val="none"/>
        </w:rPr>
        <w:t xml:space="preserve">C) O endereço de e-mail associado à conta.</w:t>
      </w:r>
    </w:p>
    <w:p>
      <w:pPr>
        <w:pStyle w:val="normal11"/>
        <w:spacing w:lineRule="auto" w:line="240"/>
        <w:jc w:val="both"/>
        <w:rPr>
          <w:u w:val="none"/>
        </w:rPr>
      </w:pPr>
      <w:r>
        <w:rPr>
          <w:b w:val="false"/>
          <w:bCs w:val="false"/>
          <w:sz w:val="22"/>
          <w:szCs w:val="22"/>
          <w:u w:val="none"/>
        </w:rPr>
        <w:t xml:space="preserve">D) A versão do aplicativo e o sistema operacional.</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Para realizar uma requisição de dados junto à Meta Platforms (Facebook/Instagram), a autoridade policial deve fornecer identificadores específicos. Segundo o material, qual conjunto representa os identificadores corretos para esta plataforma?</w:t>
      </w:r>
    </w:p>
    <w:p>
      <w:pPr>
        <w:pStyle w:val="normal11"/>
        <w:spacing w:lineRule="auto" w:line="240"/>
        <w:jc w:val="both"/>
        <w:rPr>
          <w:u w:val="none"/>
        </w:rPr>
      </w:pPr>
      <w:r>
        <w:rPr>
          <w:b w:val="false"/>
          <w:bCs w:val="false"/>
          <w:sz w:val="22"/>
          <w:szCs w:val="22"/>
          <w:u w:val="none"/>
        </w:rPr>
        <w:t xml:space="preserve">A) User ID, Nome de usuário, E-mail e Telefone.</w:t>
      </w:r>
    </w:p>
    <w:p>
      <w:pPr>
        <w:pStyle w:val="normal11"/>
        <w:spacing w:lineRule="auto" w:line="240"/>
        <w:jc w:val="both"/>
        <w:rPr>
          <w:u w:val="none"/>
        </w:rPr>
      </w:pPr>
      <w:r>
        <w:rPr>
          <w:b w:val="false"/>
          <w:bCs w:val="false"/>
          <w:sz w:val="22"/>
          <w:szCs w:val="22"/>
          <w:u w:val="none"/>
        </w:rPr>
        <w:t xml:space="preserve">B) Conta Google, IMEI verificado, URL e Chave PIX.</w:t>
      </w:r>
    </w:p>
    <w:p>
      <w:pPr>
        <w:pStyle w:val="normal11"/>
        <w:spacing w:lineRule="auto" w:line="240"/>
        <w:jc w:val="both"/>
        <w:rPr>
          <w:u w:val="none"/>
        </w:rPr>
      </w:pPr>
      <w:r>
        <w:rPr>
          <w:b w:val="false"/>
          <w:bCs w:val="false"/>
          <w:sz w:val="22"/>
          <w:szCs w:val="22"/>
          <w:u w:val="none"/>
        </w:rPr>
        <w:t xml:space="preserve">C) ID do usuário, Nome com hashtag, E-mail e CPF.</w:t>
      </w:r>
    </w:p>
    <w:p>
      <w:pPr>
        <w:pStyle w:val="normal11"/>
        <w:spacing w:lineRule="auto" w:line="240"/>
        <w:jc w:val="both"/>
        <w:rPr>
          <w:u w:val="none"/>
        </w:rPr>
      </w:pPr>
      <w:r>
        <w:rPr>
          <w:b w:val="false"/>
          <w:bCs w:val="false"/>
          <w:sz w:val="22"/>
          <w:szCs w:val="22"/>
          <w:u w:val="none"/>
        </w:rPr>
        <w:t xml:space="preserve">D) ID Apple, DS ID, IMEI e Número de Telefone.</w:t>
      </w:r>
    </w:p>
    <w:p>
      <w:pPr>
        <w:pStyle w:val="normal11"/>
        <w:spacing w:lineRule="auto" w:line="240"/>
        <w:jc w:val="both"/>
        <w:rPr>
          <w:u w:val="none"/>
        </w:rPr>
      </w:pPr>
      <w:r>
        <w:rPr>
          <w:b w:val="false"/>
          <w:bCs w:val="false"/>
          <w:sz w:val="22"/>
          <w:szCs w:val="22"/>
          <w:u w:val="none"/>
        </w:rPr>
        <w:t xml:space="preserve">E) Nenhuma das alternativas acima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37.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38.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39. De acordo com as aulas de TÉCNICAS DE INVESTIGAÇÃO E DE ENFRENTAMENTO AOS CRIMES DE CORRUPÇÃO, sobre as tipologias de corrupção estudadas, é CORRETO afirmar:</w:t>
      </w:r>
    </w:p>
    <w:p>
      <w:pPr>
        <w:pStyle w:val="normal11"/>
        <w:spacing w:lineRule="auto" w:line="240"/>
        <w:jc w:val="both"/>
        <w:rPr>
          <w:u w:val="none"/>
        </w:rPr>
      </w:pPr>
      <w:r>
        <w:rPr>
          <w:b w:val="false"/>
          <w:bCs w:val="false"/>
          <w:sz w:val="22"/>
          <w:szCs w:val="22"/>
          <w:u w:val="none"/>
        </w:rPr>
        <w:t xml:space="preserve">A) A corrupção sistêmica é aquela praticada por políticos, integrantes da alta cúpula governamental, funcionários públicos e grandes empresários, encontrando-se entranhada de maneira organizada no setor privado e nos poderes estatais, sendo possível combatê-la com o fortalecimento das instituições de controle, da persecução penal e com a instituição de ferramentas de compliance público e privado.</w:t>
      </w:r>
    </w:p>
    <w:p>
      <w:pPr>
        <w:pStyle w:val="normal11"/>
        <w:spacing w:lineRule="auto" w:line="240"/>
        <w:jc w:val="both"/>
        <w:rPr>
          <w:u w:val="none"/>
        </w:rPr>
      </w:pPr>
      <w:r>
        <w:rPr>
          <w:b w:val="false"/>
          <w:bCs w:val="false"/>
          <w:sz w:val="22"/>
          <w:szCs w:val="22"/>
          <w:u w:val="none"/>
        </w:rPr>
        <w:t xml:space="preserve">B) A corrupção endêmica manifesta-se unicamente em grandes contratos e desvios milionários de recursos públicos, não guardando qualquer relação com pequenos atos praticados no cotidiano pelas pessoas comuns, tais como furar filas, estacionar em locais proibidos ou adquirir produtos piratas.</w:t>
      </w:r>
    </w:p>
    <w:p>
      <w:pPr>
        <w:pStyle w:val="normal11"/>
        <w:spacing w:lineRule="auto" w:line="240"/>
        <w:jc w:val="both"/>
        <w:rPr>
          <w:u w:val="none"/>
        </w:rPr>
      </w:pPr>
      <w:r>
        <w:rPr>
          <w:b w:val="false"/>
          <w:bCs w:val="false"/>
          <w:sz w:val="22"/>
          <w:szCs w:val="22"/>
          <w:u w:val="none"/>
        </w:rPr>
        <w:t xml:space="preserve">C) A corrupção sindrômica é aquela composta pelos pequenos atos que as pessoas cometem no cotidiano, como furar filas em bancos, estacionar em locais proibidos e adquirir produtos piratas, sendo superada por meio da educação ética nas famílias e nas escolas.</w:t>
      </w:r>
    </w:p>
    <w:p>
      <w:pPr>
        <w:pStyle w:val="normal11"/>
        <w:spacing w:lineRule="auto" w:line="240"/>
        <w:jc w:val="both"/>
        <w:rPr>
          <w:u w:val="none"/>
        </w:rPr>
      </w:pPr>
      <w:r>
        <w:rPr>
          <w:b w:val="false"/>
          <w:bCs w:val="false"/>
          <w:sz w:val="22"/>
          <w:szCs w:val="22"/>
          <w:u w:val="none"/>
        </w:rPr>
        <w:t xml:space="preserve">D) As expressões "sistêmica", "endêmica" e "sindrômica" designam espécies de medidas assecuratórias previstas nos artigos 125 a 144 do Código de Processo Penal, não constituindo tipologias de corrupção abordadas em sala de aula.</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40. De acordo com as aulas de TÉCNICAS DE INVESTIGAÇÃO E DE ENFRENTAMENTO AOS CRIMES DE CORRUPÇÃO, é CORRETO afirmar:</w:t>
      </w:r>
    </w:p>
    <w:p>
      <w:pPr>
        <w:pStyle w:val="normal11"/>
        <w:spacing w:lineRule="auto" w:line="240"/>
        <w:jc w:val="both"/>
        <w:rPr>
          <w:u w:val="none"/>
        </w:rPr>
      </w:pPr>
      <w:r>
        <w:rPr>
          <w:b w:val="false"/>
          <w:bCs w:val="false"/>
          <w:sz w:val="22"/>
          <w:szCs w:val="22"/>
          <w:u w:val="none"/>
        </w:rPr>
        <w:t xml:space="preserve">A) A corrupção é fenômeno restrito a países pobres e subdesenvolvidos, inexistindo casos relevantes em nações ricas, razão pela qual jamais houve esforço conjunto entre os países sobre o tema.</w:t>
      </w:r>
    </w:p>
    <w:p>
      <w:pPr>
        <w:pStyle w:val="normal11"/>
        <w:spacing w:lineRule="auto" w:line="240"/>
        <w:jc w:val="both"/>
        <w:rPr>
          <w:u w:val="none"/>
        </w:rPr>
      </w:pPr>
      <w:r>
        <w:rPr>
          <w:b w:val="false"/>
          <w:bCs w:val="false"/>
          <w:sz w:val="22"/>
          <w:szCs w:val="22"/>
          <w:u w:val="none"/>
        </w:rPr>
        <w:t xml:space="preserve">B) Somente a Polícia Federal, os Promotores de Justiça do Ministério Público e o GAECO possuem atribuição para investigar crimes praticados contra a Administração Pública, sendo vedado à Polícia Civil apurar tais delitos, ainda que envolvam servidores públicos estaduais ou municipais.</w:t>
      </w:r>
    </w:p>
    <w:p>
      <w:pPr>
        <w:pStyle w:val="normal11"/>
        <w:spacing w:lineRule="auto" w:line="240"/>
        <w:jc w:val="both"/>
        <w:rPr>
          <w:u w:val="none"/>
        </w:rPr>
      </w:pPr>
      <w:r>
        <w:rPr>
          <w:b w:val="false"/>
          <w:bCs w:val="false"/>
          <w:sz w:val="22"/>
          <w:szCs w:val="22"/>
          <w:u w:val="none"/>
        </w:rPr>
        <w:t xml:space="preserve">C) A corrupção é um fenômeno global, que afeta o desenvolvimento de todos os países do mundo, em maior ou menor grau, seja em regimes autoritários ou democráticos, razão pela qual sempre houve preocupação e esforço conjunto dos países com o tema, com a formação de um verdadeiro "regime transnacional anticorrupção" e a celebração de Convenções Internacionais que contaram com a adesão do Brasil.</w:t>
      </w:r>
    </w:p>
    <w:p>
      <w:pPr>
        <w:pStyle w:val="normal11"/>
        <w:spacing w:lineRule="auto" w:line="240"/>
        <w:jc w:val="both"/>
        <w:rPr>
          <w:u w:val="none"/>
        </w:rPr>
      </w:pPr>
      <w:r>
        <w:rPr>
          <w:b w:val="false"/>
          <w:bCs w:val="false"/>
          <w:sz w:val="22"/>
          <w:szCs w:val="22"/>
          <w:u w:val="none"/>
        </w:rPr>
        <w:t xml:space="preserve">D) No Índice de Percepção da Corrupção, o Brasil figura entre os países mais íntegros do mundo, alcançando pontuação próxima do máximo da escala e ocupando as primeiras colocações do ranking.</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De acordo com as aulas de TÉCNICAS DE INVESTIGAÇÃO E DE ENFRENTAMENTO AOS CRIMES DE CORRUPÇÃO, sobre a colaboração premiada, é CORRETO afirmar:</w:t>
      </w:r>
    </w:p>
    <w:p>
      <w:pPr>
        <w:pStyle w:val="normal11"/>
        <w:spacing w:lineRule="auto" w:line="240"/>
        <w:jc w:val="both"/>
        <w:rPr>
          <w:u w:val="none"/>
        </w:rPr>
      </w:pPr>
      <w:r>
        <w:rPr>
          <w:b w:val="false"/>
          <w:bCs w:val="false"/>
          <w:sz w:val="22"/>
          <w:szCs w:val="22"/>
          <w:u w:val="none"/>
        </w:rPr>
        <w:t xml:space="preserve">A) Trata-se de ajuste de natureza informal, que dispensa homologação pelo juízo competente e a presença de defensor, bastando o registro da tratativa em relatório policial reservado.</w:t>
      </w:r>
    </w:p>
    <w:p>
      <w:pPr>
        <w:pStyle w:val="normal11"/>
        <w:spacing w:lineRule="auto" w:line="240"/>
        <w:jc w:val="both"/>
        <w:rPr>
          <w:u w:val="none"/>
        </w:rPr>
      </w:pPr>
      <w:r>
        <w:rPr>
          <w:b w:val="false"/>
          <w:bCs w:val="false"/>
          <w:sz w:val="22"/>
          <w:szCs w:val="22"/>
          <w:u w:val="none"/>
        </w:rPr>
        <w:t xml:space="preserve">B) O Supremo Tribunal Federal afastou a possibilidade de o Delegado de Polícia firmar acordo de colaboração premiada no curso de investigação criminal.</w:t>
      </w:r>
    </w:p>
    <w:p>
      <w:pPr>
        <w:pStyle w:val="normal11"/>
        <w:spacing w:lineRule="auto" w:line="240"/>
        <w:jc w:val="both"/>
        <w:rPr>
          <w:u w:val="none"/>
        </w:rPr>
      </w:pPr>
      <w:r>
        <w:rPr>
          <w:b w:val="false"/>
          <w:bCs w:val="false"/>
          <w:sz w:val="22"/>
          <w:szCs w:val="22"/>
          <w:u w:val="none"/>
        </w:rPr>
        <w:t xml:space="preserve">C) A colaboração premiada não possui previsão legal no ordenamento jurídico brasileiro, tratando-se de construção exclusivamente jurisprudencial, sem qualquer regulamentação no âmbito da Polícia Civil do Paraná.</w:t>
      </w:r>
    </w:p>
    <w:p>
      <w:pPr>
        <w:pStyle w:val="normal11"/>
        <w:spacing w:lineRule="auto" w:line="240"/>
        <w:jc w:val="both"/>
        <w:rPr>
          <w:u w:val="none"/>
        </w:rPr>
      </w:pPr>
      <w:r>
        <w:rPr>
          <w:b w:val="false"/>
          <w:bCs w:val="false"/>
          <w:sz w:val="22"/>
          <w:szCs w:val="22"/>
          <w:u w:val="none"/>
        </w:rPr>
        <w:t xml:space="preserve">D) Pode ser concebida como espécie de acordo formal, celebrado com o investigado ou acusado e homologado pelo juízo competente, no qual o investigado ou acusado se compromete a colaborar com a investigação e o processo, fornecendo informações ou provas relevantes, em troca de uma diminuição ou substituição da pena, sendo que, na PCPR, essa regulamentação está balizada em instrução normativa da Corregedoria-Geral da Polícia Civil (CGPC).</w:t>
      </w:r>
    </w:p>
    <w:p>
      <w:pPr>
        <w:pStyle w:val="normal11"/>
        <w:spacing w:lineRule="auto" w:line="240"/>
        <w:jc w:val="both"/>
        <w:rPr>
          <w:u w:val="none"/>
        </w:rPr>
      </w:pPr>
      <w:r>
        <w:rPr>
          <w:b w:val="false"/>
          <w:bCs w:val="false"/>
          <w:sz w:val="22"/>
          <w:szCs w:val="22"/>
          <w:u w:val="none"/>
        </w:rPr>
        <w:t xml:space="preserve">E) Nenhuma das alternativas anteriores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42. Nos termos do artigo 1º, § 1º, da Lei nº 13.869/2019 - Lei de Abuso de Autoridade -,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43. Com base no Manual de Medidas Cautelares da ESPC/PR, as medidas que possuem natureza patrimonial, como o sequestro e o arresto, e que têm por objetivo primordial garantir a reparação civil dos danos causados pela infração penal, pertencem a qual grupo de medidas cautelares?</w:t>
      </w:r>
    </w:p>
    <w:p>
      <w:pPr>
        <w:pStyle w:val="normal11"/>
        <w:spacing w:lineRule="auto" w:line="240"/>
        <w:jc w:val="both"/>
        <w:rPr>
          <w:u w:val="none"/>
        </w:rPr>
      </w:pPr>
      <w:r>
        <w:rPr>
          <w:b w:val="false"/>
          <w:bCs w:val="false"/>
          <w:sz w:val="22"/>
          <w:szCs w:val="22"/>
          <w:u w:val="none"/>
        </w:rPr>
        <w:t xml:space="preserve">A) Medidas Cautelares Pessoais.</w:t>
      </w:r>
    </w:p>
    <w:p>
      <w:pPr>
        <w:pStyle w:val="normal11"/>
        <w:spacing w:lineRule="auto" w:line="240"/>
        <w:jc w:val="both"/>
        <w:rPr>
          <w:u w:val="none"/>
        </w:rPr>
      </w:pPr>
      <w:r>
        <w:rPr>
          <w:b w:val="false"/>
          <w:bCs w:val="false"/>
          <w:sz w:val="22"/>
          <w:szCs w:val="22"/>
          <w:u w:val="none"/>
        </w:rPr>
        <w:t xml:space="preserve">B) Medidas Cautelares Probatórias.</w:t>
      </w:r>
    </w:p>
    <w:p>
      <w:pPr>
        <w:pStyle w:val="normal11"/>
        <w:spacing w:lineRule="auto" w:line="240"/>
        <w:jc w:val="both"/>
        <w:rPr>
          <w:u w:val="none"/>
        </w:rPr>
      </w:pPr>
      <w:r>
        <w:rPr>
          <w:b w:val="false"/>
          <w:bCs w:val="false"/>
          <w:sz w:val="22"/>
          <w:szCs w:val="22"/>
          <w:u w:val="none"/>
        </w:rPr>
        <w:t xml:space="preserve">C) Medidas Cautelares Reais (Asseguratórias).</w:t>
      </w:r>
    </w:p>
    <w:p>
      <w:pPr>
        <w:pStyle w:val="normal11"/>
        <w:spacing w:lineRule="auto" w:line="240"/>
        <w:jc w:val="both"/>
        <w:rPr>
          <w:u w:val="none"/>
        </w:rPr>
      </w:pPr>
      <w:r>
        <w:rPr>
          <w:b w:val="false"/>
          <w:bCs w:val="false"/>
          <w:sz w:val="22"/>
          <w:szCs w:val="22"/>
          <w:u w:val="none"/>
        </w:rPr>
        <w:t xml:space="preserve">D) Medidas Cautelares Inquisitoriais.</w:t>
      </w:r>
    </w:p>
    <w:p>
      <w:pPr>
        <w:pStyle w:val="normal11"/>
        <w:spacing w:lineRule="auto" w:line="240"/>
        <w:jc w:val="both"/>
        <w:rPr>
          <w:u w:val="none"/>
        </w:rPr>
      </w:pPr>
      <w:r>
        <w:rPr>
          <w:b w:val="false"/>
          <w:bCs w:val="false"/>
          <w:sz w:val="22"/>
          <w:szCs w:val="22"/>
          <w:u w:val="none"/>
        </w:rPr>
        <w:t xml:space="preserve">E) Medidas Cautelares Atípicas.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Em relação às regras que regem a busca e apreensão (art. 240 do CPP), assinale a alternativa que apresenta a correta distinção de procedimento entre a busca domiciliar e a busca pessoal descrita no manual:</w:t>
      </w:r>
    </w:p>
    <w:p>
      <w:pPr>
        <w:pStyle w:val="normal11"/>
        <w:spacing w:lineRule="auto" w:line="240"/>
        <w:jc w:val="both"/>
        <w:rPr>
          <w:u w:val="none"/>
        </w:rPr>
      </w:pPr>
      <w:r>
        <w:rPr>
          <w:b w:val="false"/>
          <w:bCs w:val="false"/>
          <w:sz w:val="22"/>
          <w:szCs w:val="22"/>
          <w:u w:val="none"/>
        </w:rPr>
        <w:t xml:space="preserve">A) A busca domiciliar pode ser determinada diretamente por agentes policiais de forma imediata, dispensando qualquer mandado judicial.</w:t>
      </w:r>
    </w:p>
    <w:p>
      <w:pPr>
        <w:pStyle w:val="normal11"/>
        <w:spacing w:lineRule="auto" w:line="240"/>
        <w:jc w:val="both"/>
        <w:rPr>
          <w:u w:val="none"/>
        </w:rPr>
      </w:pPr>
      <w:r>
        <w:rPr>
          <w:b w:val="false"/>
          <w:bCs w:val="false"/>
          <w:sz w:val="22"/>
          <w:szCs w:val="22"/>
          <w:u w:val="none"/>
        </w:rPr>
        <w:t xml:space="preserve">B) Ambas as modalidades de busca (pessoal e domiciliar) exigem obrigatoriamente prévia e fundamentada determinação de autoridade judicial.</w:t>
      </w:r>
    </w:p>
    <w:p>
      <w:pPr>
        <w:pStyle w:val="normal11"/>
        <w:spacing w:lineRule="auto" w:line="240"/>
        <w:jc w:val="both"/>
        <w:rPr>
          <w:u w:val="none"/>
        </w:rPr>
      </w:pPr>
      <w:r>
        <w:rPr>
          <w:b w:val="false"/>
          <w:bCs w:val="false"/>
          <w:sz w:val="22"/>
          <w:szCs w:val="22"/>
          <w:u w:val="none"/>
        </w:rPr>
        <w:t xml:space="preserve">C) A busca pessoal exige prévia autorização da autoridade judicial, enquanto a busca domiciliar depende apenas de fundada suspeita do Delegado.</w:t>
      </w:r>
    </w:p>
    <w:p>
      <w:pPr>
        <w:pStyle w:val="normal11"/>
        <w:spacing w:lineRule="auto" w:line="240"/>
        <w:jc w:val="both"/>
        <w:rPr>
          <w:u w:val="none"/>
        </w:rPr>
      </w:pPr>
      <w:r>
        <w:rPr>
          <w:b w:val="false"/>
          <w:bCs w:val="false"/>
          <w:sz w:val="22"/>
          <w:szCs w:val="22"/>
          <w:u w:val="none"/>
        </w:rPr>
        <w:t xml:space="preserve">D) A busca domiciliar está estritamente adstrita à cláusula de reserva jurisdicional, exigindo prévia determinação judicial, enquanto a busca pessoal pode ser determinada diretamente pela autoridade policial ou seus agentes.</w:t>
      </w:r>
    </w:p>
    <w:p>
      <w:pPr>
        <w:pStyle w:val="normal11"/>
        <w:spacing w:lineRule="auto" w:line="240"/>
        <w:jc w:val="both"/>
        <w:rPr>
          <w:u w:val="none"/>
        </w:rPr>
      </w:pPr>
      <w:r>
        <w:rPr>
          <w:b w:val="false"/>
          <w:bCs w:val="false"/>
          <w:sz w:val="22"/>
          <w:szCs w:val="22"/>
          <w:u w:val="none"/>
        </w:rPr>
        <w:t xml:space="preserve">E) A busca domiciliar pode ser executada em período noturno por determinação direta da autoridade policial quando houver fundada suspeita de ocultação de provas.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45. Durante a execução de um Mandado de Busca e Apreensão (MBA) domiciliar, caso a equipe policial constate a ausência do morador ou de qualquer outro responsável no imóvel, qual deve ser o procedimento formal adotado pelos policiais civis encarregados?</w:t>
      </w:r>
    </w:p>
    <w:p>
      <w:pPr>
        <w:pStyle w:val="normal11"/>
        <w:spacing w:lineRule="auto" w:line="240"/>
        <w:jc w:val="both"/>
        <w:rPr>
          <w:u w:val="none"/>
        </w:rPr>
      </w:pPr>
      <w:r>
        <w:rPr>
          <w:b w:val="false"/>
          <w:bCs w:val="false"/>
          <w:sz w:val="22"/>
          <w:szCs w:val="22"/>
          <w:u w:val="none"/>
        </w:rPr>
        <w:t xml:space="preserve">A) A diligência deve ser imediatamente suspensa, devendo a equipe retornar apenas quando o morador estiver presente no local.</w:t>
      </w:r>
    </w:p>
    <w:p>
      <w:pPr>
        <w:pStyle w:val="normal11"/>
        <w:spacing w:lineRule="auto" w:line="240"/>
        <w:jc w:val="both"/>
        <w:rPr>
          <w:u w:val="none"/>
        </w:rPr>
      </w:pPr>
      <w:r>
        <w:rPr>
          <w:b w:val="false"/>
          <w:bCs w:val="false"/>
          <w:sz w:val="22"/>
          <w:szCs w:val="22"/>
          <w:u w:val="none"/>
        </w:rPr>
        <w:t xml:space="preserve">B) A porta do domicílio será arrombada e a equipe poderá realizar a busca livremente, sem formalidades ou registros adicionais.</w:t>
      </w:r>
    </w:p>
    <w:p>
      <w:pPr>
        <w:pStyle w:val="normal11"/>
        <w:spacing w:lineRule="auto" w:line="240"/>
        <w:jc w:val="both"/>
        <w:rPr>
          <w:u w:val="none"/>
        </w:rPr>
      </w:pPr>
      <w:r>
        <w:rPr>
          <w:b w:val="false"/>
          <w:bCs w:val="false"/>
          <w:sz w:val="22"/>
          <w:szCs w:val="22"/>
          <w:u w:val="none"/>
        </w:rPr>
        <w:t xml:space="preserve">C) A porta do domicílio será arrombada para forçar a entrada, devendo a equipe intimar um vizinho para acompanhar a diligência de busca.</w:t>
      </w:r>
    </w:p>
    <w:p>
      <w:pPr>
        <w:pStyle w:val="normal11"/>
        <w:spacing w:lineRule="auto" w:line="240"/>
        <w:jc w:val="both"/>
        <w:rPr>
          <w:u w:val="none"/>
        </w:rPr>
      </w:pPr>
      <w:r>
        <w:rPr>
          <w:b w:val="false"/>
          <w:bCs w:val="false"/>
          <w:sz w:val="22"/>
          <w:szCs w:val="22"/>
          <w:u w:val="none"/>
        </w:rPr>
        <w:t xml:space="preserve">D) A diligência deve ser cancelada e o mandado judicial devolvido ao juiz competente, visto que a ausência de testemunhas residentes anula o ato.</w:t>
      </w:r>
    </w:p>
    <w:p>
      <w:pPr>
        <w:pStyle w:val="normal11"/>
        <w:spacing w:lineRule="auto" w:line="240"/>
        <w:jc w:val="both"/>
        <w:rPr>
          <w:u w:val="none"/>
        </w:rPr>
      </w:pPr>
      <w:r>
        <w:rPr>
          <w:b w:val="false"/>
          <w:bCs w:val="false"/>
          <w:sz w:val="22"/>
          <w:szCs w:val="22"/>
          <w:u w:val="none"/>
        </w:rPr>
        <w:t xml:space="preserve">E) A busca no imóvel sem moradores só poderá ser realizada mediante o acompanhamento presencial de um representante do Ministério Público.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46.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de Segurança de Estado.</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47.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independe do tratamento, de dados e conhecimentos, feito pelo profissional de inteligência;</w:t>
        <w:br/>
        <w:t xml:space="preserve">( ) Produzir conhecimento é transformar dados e/ou conhecimentos em conhecimentos avaliados, significativos, úteis, oportunos e seguros;</w:t>
        <w:br/>
        <w:t xml:space="preserve">( ) A produção do conhecimento no âmbito da Inteligência não precisa de metodologia específica, sob pena de se perder a informação;</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48. A atividade de inteligência é o exercício de ações especializadas para obtenção e análise de dados, produção de conhecimentos e proteção de conhecimentos para o país. Assinale a opção que corresponde às duas linhas fundamentais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NDA.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Com base nas aulas ministradas, vimos que existem diferenças entre a ATIVIDADE DE INTELIGÊNCIA DE SEGURANÇA PÚBLICA e a INVESTIGAÇÃO POLICIAL, dessa forma não se pode confundi-las. Portanto a respeito do tema Atividade de Inteligência de Segurança Pública (ISP) e a Investigação Policial, marque a alternativa correta:</w:t>
      </w:r>
    </w:p>
    <w:p>
      <w:pPr>
        <w:pStyle w:val="normal11"/>
        <w:spacing w:lineRule="auto" w:line="240"/>
        <w:jc w:val="both"/>
        <w:rPr>
          <w:u w:val="none"/>
        </w:rPr>
      </w:pPr>
      <w:r>
        <w:rPr>
          <w:b w:val="false"/>
          <w:bCs w:val="false"/>
          <w:sz w:val="22"/>
          <w:szCs w:val="22"/>
          <w:u w:val="none"/>
        </w:rPr>
        <w:t xml:space="preserve">A) A Atividade de Inteligência de Segurança Pública tem a finalidade precípua de buscar provas e realizar prisões para condenar o autor do fato de um crime praticado. Atuando de forma pública e sempre prestando informações para publicações jornalísticas.</w:t>
      </w:r>
    </w:p>
    <w:p>
      <w:pPr>
        <w:pStyle w:val="normal11"/>
        <w:spacing w:lineRule="auto" w:line="240"/>
        <w:jc w:val="both"/>
        <w:rPr>
          <w:u w:val="none"/>
        </w:rPr>
      </w:pPr>
      <w:r>
        <w:rPr>
          <w:b w:val="false"/>
          <w:bCs w:val="false"/>
          <w:sz w:val="22"/>
          <w:szCs w:val="22"/>
          <w:u w:val="none"/>
        </w:rPr>
        <w:t xml:space="preserve">B) A Atividade de Inteligência não busca a produção de conhecimento, e não é sua atribuição a salvaguarda dos conhecimentos produzidos.</w:t>
      </w:r>
    </w:p>
    <w:p>
      <w:pPr>
        <w:pStyle w:val="normal11"/>
        <w:spacing w:lineRule="auto" w:line="240"/>
        <w:jc w:val="both"/>
        <w:rPr>
          <w:u w:val="none"/>
        </w:rPr>
      </w:pPr>
      <w:r>
        <w:rPr>
          <w:b w:val="false"/>
          <w:bCs w:val="false"/>
          <w:sz w:val="22"/>
          <w:szCs w:val="22"/>
          <w:u w:val="none"/>
        </w:rPr>
        <w:t xml:space="preserve">C) A Investigação Policial tem por finalidade principal buscar provas de autoria e materialidade visando uma condenação criminal, e sua atuação reativa, executa medidas cautelares e relata inquéritos, num procedimento público. Quanto a Atividade de ISP busca assessorar os gestores para um processo decisório, buscando produzir conhecimento, podendo nesse percurso obter provas, e sua atuação é proativa e o procedimento predominantemente reservado, ou seja, sigiloso.</w:t>
      </w:r>
    </w:p>
    <w:p>
      <w:pPr>
        <w:pStyle w:val="normal11"/>
        <w:spacing w:lineRule="auto" w:line="240"/>
        <w:jc w:val="both"/>
        <w:rPr>
          <w:u w:val="none"/>
        </w:rPr>
      </w:pPr>
      <w:r>
        <w:rPr>
          <w:b w:val="false"/>
          <w:bCs w:val="false"/>
          <w:sz w:val="22"/>
          <w:szCs w:val="22"/>
          <w:u w:val="none"/>
        </w:rPr>
        <w:t xml:space="preserve">D) Inteligência atua sempre de forma reativa, enquanto que a investigação vai atuar antecipadamente ao cometimento do crime.</w:t>
      </w:r>
    </w:p>
    <w:p>
      <w:pPr>
        <w:pStyle w:val="normal11"/>
        <w:spacing w:lineRule="auto" w:line="240"/>
        <w:jc w:val="both"/>
        <w:rPr>
          <w:u w:val="none"/>
        </w:rPr>
      </w:pPr>
      <w:r>
        <w:rPr>
          <w:b w:val="false"/>
          <w:bCs w:val="false"/>
          <w:sz w:val="22"/>
          <w:szCs w:val="22"/>
          <w:u w:val="none"/>
        </w:rPr>
        <w:t xml:space="preserve">E) A investigação ao final sempre produzirá um documento chamado RELINT.</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50. Em se tratando da Metodologia de Produção do Conhecimento de Inteligência, tem-se como fases:</w:t>
      </w:r>
    </w:p>
    <w:p>
      <w:pPr>
        <w:pStyle w:val="normal11"/>
        <w:spacing w:lineRule="auto" w:line="240"/>
        <w:jc w:val="both"/>
        <w:rPr>
          <w:u w:val="none"/>
        </w:rPr>
      </w:pPr>
      <w:r>
        <w:rPr>
          <w:b w:val="false"/>
          <w:bCs w:val="false"/>
          <w:sz w:val="22"/>
          <w:szCs w:val="22"/>
          <w:u w:val="none"/>
        </w:rPr>
        <w:t xml:space="preserve">A) Coleta inicial; análise preliminar; divulgação interna; revisão externa e implementação de feedback.</w:t>
      </w:r>
    </w:p>
    <w:p>
      <w:pPr>
        <w:pStyle w:val="normal11"/>
        <w:spacing w:lineRule="auto" w:line="240"/>
        <w:jc w:val="both"/>
        <w:rPr>
          <w:u w:val="none"/>
        </w:rPr>
      </w:pPr>
      <w:r>
        <w:rPr>
          <w:b w:val="false"/>
          <w:bCs w:val="false"/>
          <w:sz w:val="22"/>
          <w:szCs w:val="22"/>
          <w:u w:val="none"/>
        </w:rPr>
        <w:t xml:space="preserve">B) Agregação de dados; filtragem por relevância; teste de hipóteses; aprovação política e publicação de relatórios.</w:t>
      </w:r>
    </w:p>
    <w:p>
      <w:pPr>
        <w:pStyle w:val="normal11"/>
        <w:spacing w:lineRule="auto" w:line="240"/>
        <w:jc w:val="both"/>
        <w:rPr>
          <w:u w:val="none"/>
        </w:rPr>
      </w:pPr>
      <w:r>
        <w:rPr>
          <w:b w:val="false"/>
          <w:bCs w:val="false"/>
          <w:sz w:val="22"/>
          <w:szCs w:val="22"/>
          <w:u w:val="none"/>
        </w:rPr>
        <w:t xml:space="preserve">C) Planejamento; reunião; processamento e formalização e difusão.</w:t>
      </w:r>
    </w:p>
    <w:p>
      <w:pPr>
        <w:pStyle w:val="normal11"/>
        <w:spacing w:lineRule="auto" w:line="240"/>
        <w:jc w:val="both"/>
        <w:rPr>
          <w:u w:val="none"/>
        </w:rPr>
      </w:pPr>
      <w:r>
        <w:rPr>
          <w:b w:val="false"/>
          <w:bCs w:val="false"/>
          <w:sz w:val="22"/>
          <w:szCs w:val="22"/>
          <w:u w:val="none"/>
        </w:rPr>
        <w:t xml:space="preserve">D) Captação de rumores; elaboração de perfis fictícios; projeção de cenários irreais e confirmação por opinião popular.</w:t>
      </w:r>
    </w:p>
    <w:p>
      <w:pPr>
        <w:pStyle w:val="normal11"/>
        <w:spacing w:lineRule="auto" w:line="240"/>
        <w:jc w:val="both"/>
        <w:rPr>
          <w:u w:val="none"/>
        </w:rPr>
      </w:pPr>
      <w:r>
        <w:rPr>
          <w:b w:val="false"/>
          <w:bCs w:val="false"/>
          <w:sz w:val="22"/>
          <w:szCs w:val="22"/>
          <w:u w:val="none"/>
        </w:rPr>
        <w:t xml:space="preserve">E) Reunião; integração; difusão; revisão externa e publicação de resultados.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51.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Deverá se identificar e apresentar sua carteira funcional ao responsável pelo estabelecimento, e declinar seu cargo e lotação.</w:t>
      </w:r>
    </w:p>
    <w:p>
      <w:pPr>
        <w:pStyle w:val="normal11"/>
        <w:spacing w:lineRule="auto" w:line="240"/>
        <w:jc w:val="both"/>
        <w:rPr>
          <w:u w:val="none"/>
        </w:rPr>
      </w:pPr>
      <w:r>
        <w:rPr>
          <w:b w:val="false"/>
          <w:bCs w:val="false"/>
          <w:sz w:val="22"/>
          <w:szCs w:val="22"/>
          <w:u w:val="none"/>
        </w:rPr>
        <w:t xml:space="preserve">B)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C)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D)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E) Não deverá ingressar em estabelecimentos sujeitos à fiscalização.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da ocorrência à DEAM – Delegacia de Explosivos, Armas e Munições.</w:t>
      </w:r>
    </w:p>
    <w:p>
      <w:pPr>
        <w:pStyle w:val="normal11"/>
        <w:spacing w:lineRule="auto" w:line="240"/>
        <w:jc w:val="both"/>
        <w:rPr>
          <w:u w:val="none"/>
        </w:rPr>
      </w:pPr>
      <w:r>
        <w:rPr>
          <w:b w:val="false"/>
          <w:bCs w:val="false"/>
          <w:sz w:val="22"/>
          <w:szCs w:val="22"/>
          <w:u w:val="none"/>
        </w:rPr>
        <w:t xml:space="preserve">E) Comunicação ao Delegado Chefe da Subdivisão Policial da  circunscrição dos fatos, que acionará, caso haja, o Setor de Homicídios e o Grupo de Diligências Especiais – GDE, quando os fatos se derem no Interior do Estado;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53. Durante o Plantão na Central de Flagrantes é apresentado à autoridade policial um menino de 11 anos e 6 meses surpreendido subtraindo produtos de um estabelecimento comercial. Diante da idade do autor e das diretrizes do Estatuto da Criança e do Adolescente (ECA), qual deve ser a conduta correta do Delegado de Polícia?</w:t>
      </w:r>
    </w:p>
    <w:p>
      <w:pPr>
        <w:pStyle w:val="normal11"/>
        <w:spacing w:lineRule="auto" w:line="240"/>
        <w:jc w:val="both"/>
        <w:rPr>
          <w:u w:val="none"/>
        </w:rPr>
      </w:pPr>
      <w:r>
        <w:rPr>
          <w:b w:val="false"/>
          <w:bCs w:val="false"/>
          <w:sz w:val="22"/>
          <w:szCs w:val="22"/>
          <w:u w:val="none"/>
        </w:rPr>
        <w:t xml:space="preserve">A) Lavrar o Auto de Apreensão em Flagrante de Ato Infracional (AAFAI) e encaminhar o menino diretamente ao CENSE.</w:t>
      </w:r>
    </w:p>
    <w:p>
      <w:pPr>
        <w:pStyle w:val="normal11"/>
        <w:spacing w:lineRule="auto" w:line="240"/>
        <w:jc w:val="both"/>
        <w:rPr>
          <w:u w:val="none"/>
        </w:rPr>
      </w:pPr>
      <w:r>
        <w:rPr>
          <w:b w:val="false"/>
          <w:bCs w:val="false"/>
          <w:sz w:val="22"/>
          <w:szCs w:val="22"/>
          <w:u w:val="none"/>
        </w:rPr>
        <w:t xml:space="preserve">B) Determinar a internação provisória por até 45 dias para garantia da ordem pública.</w:t>
      </w:r>
    </w:p>
    <w:p>
      <w:pPr>
        <w:pStyle w:val="normal11"/>
        <w:spacing w:lineRule="auto" w:line="240"/>
        <w:jc w:val="both"/>
        <w:rPr>
          <w:u w:val="none"/>
        </w:rPr>
      </w:pPr>
      <w:r>
        <w:rPr>
          <w:b w:val="false"/>
          <w:bCs w:val="false"/>
          <w:sz w:val="22"/>
          <w:szCs w:val="22"/>
          <w:u w:val="none"/>
        </w:rPr>
        <w:t xml:space="preserve">C) Acionar o Conselho Tutelar para a aplicação de medidas protetivas, sendo vedada a apreensão policial nos moldes aplicados aos adolescentes.</w:t>
      </w:r>
    </w:p>
    <w:p>
      <w:pPr>
        <w:pStyle w:val="normal11"/>
        <w:spacing w:lineRule="auto" w:line="240"/>
        <w:jc w:val="both"/>
        <w:rPr>
          <w:u w:val="none"/>
        </w:rPr>
      </w:pPr>
      <w:r>
        <w:rPr>
          <w:b w:val="false"/>
          <w:bCs w:val="false"/>
          <w:sz w:val="22"/>
          <w:szCs w:val="22"/>
          <w:u w:val="none"/>
        </w:rPr>
        <w:t xml:space="preserve">D) Lavrar um Boletim de Ocorrência Circunstanciada (BOC) e instaurar medida socioeducativa de prestação de serviços à comunidade para orientar que ele nunca mais tenha esse comportamento.</w:t>
      </w:r>
    </w:p>
    <w:p>
      <w:pPr>
        <w:pStyle w:val="normal11"/>
        <w:spacing w:lineRule="auto" w:line="240"/>
        <w:jc w:val="both"/>
        <w:rPr>
          <w:u w:val="none"/>
        </w:rPr>
      </w:pPr>
      <w:r>
        <w:rPr>
          <w:b w:val="false"/>
          <w:bCs w:val="false"/>
          <w:sz w:val="22"/>
          <w:szCs w:val="22"/>
          <w:u w:val="none"/>
        </w:rPr>
        <w:t xml:space="preserve">E) Encaminhar o caso para a Vara Criminal de adultos, aplicando-se o Código Penal de forma atenuada em razão da idade.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54. Um adolescente de 16 anos é conduzido à Delegacia após ser flagrado pela Polícia Militar praticando um roubo mediante o uso de uma faca. Para este cenário, o Delegado de Polícia deve adotar qual peça inaugural de procedimento investigatório/apuratório?</w:t>
      </w:r>
    </w:p>
    <w:p>
      <w:pPr>
        <w:pStyle w:val="normal11"/>
        <w:spacing w:lineRule="auto" w:line="240"/>
        <w:jc w:val="both"/>
        <w:rPr>
          <w:u w:val="none"/>
        </w:rPr>
      </w:pPr>
      <w:r>
        <w:rPr>
          <w:b w:val="false"/>
          <w:bCs w:val="false"/>
          <w:sz w:val="22"/>
          <w:szCs w:val="22"/>
          <w:u w:val="none"/>
        </w:rPr>
        <w:t xml:space="preserve">A) Boletim de Ocorrência Circunstanciada (BOC), pois o adolescente é menor de idade e não pode sofrer restrição de liberdade em flagrante.</w:t>
      </w:r>
    </w:p>
    <w:p>
      <w:pPr>
        <w:pStyle w:val="normal11"/>
        <w:spacing w:lineRule="auto" w:line="240"/>
        <w:jc w:val="both"/>
        <w:rPr>
          <w:u w:val="none"/>
        </w:rPr>
      </w:pPr>
      <w:r>
        <w:rPr>
          <w:b w:val="false"/>
          <w:bCs w:val="false"/>
          <w:sz w:val="22"/>
          <w:szCs w:val="22"/>
          <w:u w:val="none"/>
        </w:rPr>
        <w:t xml:space="preserve">B) Auto de Apreensão em Flagrante de Ato Infracional (AAFAI), obrigatório nos casos de flagrante de ato infracional cometido mediante violência ou grave ameaça à pessoa.</w:t>
      </w:r>
    </w:p>
    <w:p>
      <w:pPr>
        <w:pStyle w:val="normal11"/>
        <w:spacing w:lineRule="auto" w:line="240"/>
        <w:jc w:val="both"/>
        <w:rPr>
          <w:u w:val="none"/>
        </w:rPr>
      </w:pPr>
      <w:r>
        <w:rPr>
          <w:b w:val="false"/>
          <w:bCs w:val="false"/>
          <w:sz w:val="22"/>
          <w:szCs w:val="22"/>
          <w:u w:val="none"/>
        </w:rPr>
        <w:t xml:space="preserve">C) Inquérito Policial tradicional, idêntico ao utilizado para autores maiores de idade.</w:t>
      </w:r>
    </w:p>
    <w:p>
      <w:pPr>
        <w:pStyle w:val="normal11"/>
        <w:spacing w:lineRule="auto" w:line="240"/>
        <w:jc w:val="both"/>
        <w:rPr>
          <w:u w:val="none"/>
        </w:rPr>
      </w:pPr>
      <w:r>
        <w:rPr>
          <w:b w:val="false"/>
          <w:bCs w:val="false"/>
          <w:sz w:val="22"/>
          <w:szCs w:val="22"/>
          <w:u w:val="none"/>
        </w:rPr>
        <w:t xml:space="preserve">D) Termo Circunstanciado de Infração Penal (TCIP), aplicando a Lei nº 9.099/1995 de forma subsidiária.</w:t>
      </w:r>
    </w:p>
    <w:p>
      <w:pPr>
        <w:pStyle w:val="normal11"/>
        <w:spacing w:lineRule="auto" w:line="240"/>
        <w:jc w:val="both"/>
        <w:rPr>
          <w:u w:val="none"/>
        </w:rPr>
      </w:pPr>
      <w:r>
        <w:rPr>
          <w:b w:val="false"/>
          <w:bCs w:val="false"/>
          <w:sz w:val="22"/>
          <w:szCs w:val="22"/>
          <w:u w:val="none"/>
        </w:rPr>
        <w:t xml:space="preserve">E) Relatório de Investigação Direta ao Ministério Público, dispensando a lavratura de qualquer auto flagrancial.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55. Questão 1 — Embriaguez ao volante</w:t>
        <w:br/>
        <w:t xml:space="preserve">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56. Dispõe a Resolução n° 968 de 20 de Junho de 2022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57.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58. A responsabilidade civil do Estado é, em regra:</w:t>
      </w:r>
    </w:p>
    <w:p>
      <w:pPr>
        <w:pStyle w:val="normal11"/>
        <w:spacing w:lineRule="auto" w:line="240"/>
        <w:jc w:val="both"/>
        <w:rPr>
          <w:u w:val="none"/>
        </w:rPr>
      </w:pPr>
      <w:r>
        <w:rPr>
          <w:b w:val="false"/>
          <w:bCs w:val="false"/>
          <w:sz w:val="22"/>
          <w:szCs w:val="22"/>
          <w:u w:val="none"/>
        </w:rPr>
        <w:t xml:space="preserve">A) Subjetiva, dependendo sempre da comprovação de dolo.</w:t>
      </w:r>
    </w:p>
    <w:p>
      <w:pPr>
        <w:pStyle w:val="normal11"/>
        <w:spacing w:lineRule="auto" w:line="240"/>
        <w:jc w:val="both"/>
        <w:rPr>
          <w:u w:val="none"/>
        </w:rPr>
      </w:pPr>
      <w:r>
        <w:rPr>
          <w:b w:val="false"/>
          <w:bCs w:val="false"/>
          <w:sz w:val="22"/>
          <w:szCs w:val="22"/>
          <w:u w:val="none"/>
        </w:rPr>
        <w:t xml:space="preserve">B) Subjetiva, dependendo sempre da comprovação de culpa.</w:t>
      </w:r>
    </w:p>
    <w:p>
      <w:pPr>
        <w:pStyle w:val="normal11"/>
        <w:spacing w:lineRule="auto" w:line="240"/>
        <w:jc w:val="both"/>
        <w:rPr>
          <w:u w:val="none"/>
        </w:rPr>
      </w:pPr>
      <w:r>
        <w:rPr>
          <w:b w:val="false"/>
          <w:bCs w:val="false"/>
          <w:sz w:val="22"/>
          <w:szCs w:val="22"/>
          <w:u w:val="none"/>
        </w:rPr>
        <w:t xml:space="preserve">C) Objetiva, em razão da adoção da Teoria do Risco Administrativo.</w:t>
      </w:r>
    </w:p>
    <w:p>
      <w:pPr>
        <w:pStyle w:val="normal11"/>
        <w:spacing w:lineRule="auto" w:line="240"/>
        <w:jc w:val="both"/>
        <w:rPr>
          <w:u w:val="none"/>
        </w:rPr>
      </w:pPr>
      <w:r>
        <w:rPr>
          <w:b w:val="false"/>
          <w:bCs w:val="false"/>
          <w:sz w:val="22"/>
          <w:szCs w:val="22"/>
          <w:u w:val="none"/>
        </w:rPr>
        <w:t xml:space="preserve">D) Integral, não admitindo qualquer hipótese de exclusão.</w:t>
      </w:r>
    </w:p>
    <w:p>
      <w:pPr>
        <w:pStyle w:val="normal11"/>
        <w:spacing w:lineRule="auto" w:line="240"/>
        <w:jc w:val="both"/>
        <w:rPr>
          <w:u w:val="none"/>
        </w:rPr>
      </w:pPr>
      <w:r>
        <w:rPr>
          <w:b w:val="false"/>
          <w:bCs w:val="false"/>
          <w:sz w:val="22"/>
          <w:szCs w:val="22"/>
          <w:u w:val="none"/>
        </w:rPr>
        <w:t xml:space="preserve">E) Inexistente quando o dano for causado por agente público.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59. Nos termos do art. 37, § 6º, da Constituição Federal, o direito de regresso contra o agente responsável pelo dano ocorre nos casos de:</w:t>
      </w:r>
    </w:p>
    <w:p>
      <w:pPr>
        <w:pStyle w:val="normal11"/>
        <w:spacing w:lineRule="auto" w:line="240"/>
        <w:jc w:val="both"/>
        <w:rPr>
          <w:u w:val="none"/>
        </w:rPr>
      </w:pPr>
      <w:r>
        <w:rPr>
          <w:b w:val="false"/>
          <w:bCs w:val="false"/>
          <w:sz w:val="22"/>
          <w:szCs w:val="22"/>
          <w:u w:val="none"/>
        </w:rPr>
        <w:t xml:space="preserve">A) Dolo ou culpa.</w:t>
      </w:r>
    </w:p>
    <w:p>
      <w:pPr>
        <w:pStyle w:val="normal11"/>
        <w:spacing w:lineRule="auto" w:line="240"/>
        <w:jc w:val="both"/>
        <w:rPr>
          <w:u w:val="none"/>
        </w:rPr>
      </w:pPr>
      <w:r>
        <w:rPr>
          <w:b w:val="false"/>
          <w:bCs w:val="false"/>
          <w:sz w:val="22"/>
          <w:szCs w:val="22"/>
          <w:u w:val="none"/>
        </w:rPr>
        <w:t xml:space="preserve">B) Dolo exclusivamente.</w:t>
      </w:r>
    </w:p>
    <w:p>
      <w:pPr>
        <w:pStyle w:val="normal11"/>
        <w:spacing w:lineRule="auto" w:line="240"/>
        <w:jc w:val="both"/>
        <w:rPr>
          <w:u w:val="none"/>
        </w:rPr>
      </w:pPr>
      <w:r>
        <w:rPr>
          <w:b w:val="false"/>
          <w:bCs w:val="false"/>
          <w:sz w:val="22"/>
          <w:szCs w:val="22"/>
          <w:u w:val="none"/>
        </w:rPr>
        <w:t xml:space="preserve">C) Culpa grave exclusivamente.</w:t>
      </w:r>
    </w:p>
    <w:p>
      <w:pPr>
        <w:pStyle w:val="normal11"/>
        <w:spacing w:lineRule="auto" w:line="240"/>
        <w:jc w:val="both"/>
        <w:rPr>
          <w:u w:val="none"/>
        </w:rPr>
      </w:pPr>
      <w:r>
        <w:rPr>
          <w:b w:val="false"/>
          <w:bCs w:val="false"/>
          <w:sz w:val="22"/>
          <w:szCs w:val="22"/>
          <w:u w:val="none"/>
        </w:rPr>
        <w:t xml:space="preserve">D) Responsabilidade objetiva do agente.</w:t>
      </w:r>
    </w:p>
    <w:p>
      <w:pPr>
        <w:pStyle w:val="normal11"/>
        <w:spacing w:lineRule="auto" w:line="240"/>
        <w:jc w:val="both"/>
        <w:rPr>
          <w:u w:val="none"/>
        </w:rPr>
      </w:pPr>
      <w:r>
        <w:rPr>
          <w:b w:val="false"/>
          <w:bCs w:val="false"/>
          <w:sz w:val="22"/>
          <w:szCs w:val="22"/>
          <w:u w:val="none"/>
        </w:rPr>
        <w:t xml:space="preserve">E) Qualquer dano causado por terceiro.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60. Quais são os três pilares fundamentais que sustentam o programa de Extrajornada na Polícia Civil do Paraná?</w:t>
      </w:r>
    </w:p>
    <w:p>
      <w:pPr>
        <w:pStyle w:val="normal11"/>
        <w:spacing w:lineRule="auto" w:line="240"/>
        <w:jc w:val="both"/>
        <w:rPr>
          <w:u w:val="none"/>
        </w:rPr>
      </w:pPr>
      <w:r>
        <w:rPr>
          <w:b w:val="false"/>
          <w:bCs w:val="false"/>
          <w:sz w:val="22"/>
          <w:szCs w:val="22"/>
          <w:u w:val="none"/>
        </w:rPr>
        <w:t xml:space="preserve">A) Atividade de inteligência, disponibilidade integral e obrigatoriedade.</w:t>
      </w:r>
    </w:p>
    <w:p>
      <w:pPr>
        <w:pStyle w:val="normal11"/>
        <w:spacing w:lineRule="auto" w:line="240"/>
        <w:jc w:val="both"/>
        <w:rPr>
          <w:u w:val="none"/>
        </w:rPr>
      </w:pPr>
      <w:r>
        <w:rPr>
          <w:b w:val="false"/>
          <w:bCs w:val="false"/>
          <w:sz w:val="22"/>
          <w:szCs w:val="22"/>
          <w:u w:val="none"/>
        </w:rPr>
        <w:t xml:space="preserve">B) Obrigatoriedade, atividade educacional e treinamento contínuo e regime de plantão obrigatório.</w:t>
      </w:r>
    </w:p>
    <w:p>
      <w:pPr>
        <w:pStyle w:val="normal11"/>
        <w:spacing w:lineRule="auto" w:line="240"/>
        <w:jc w:val="both"/>
        <w:rPr>
          <w:u w:val="none"/>
        </w:rPr>
      </w:pPr>
      <w:r>
        <w:rPr>
          <w:b w:val="false"/>
          <w:bCs w:val="false"/>
          <w:sz w:val="22"/>
          <w:szCs w:val="22"/>
          <w:u w:val="none"/>
        </w:rPr>
        <w:t xml:space="preserve">C) Voluntariedade, atividade-fim e proibição de cumulação com o recebimento de diárias.</w:t>
      </w:r>
    </w:p>
    <w:p>
      <w:pPr>
        <w:pStyle w:val="normal11"/>
        <w:spacing w:lineRule="auto" w:line="240"/>
        <w:jc w:val="both"/>
        <w:rPr>
          <w:u w:val="none"/>
        </w:rPr>
      </w:pPr>
      <w:r>
        <w:rPr>
          <w:b w:val="false"/>
          <w:bCs w:val="false"/>
          <w:sz w:val="22"/>
          <w:szCs w:val="22"/>
          <w:u w:val="none"/>
        </w:rPr>
        <w:t xml:space="preserve">D) Eventualidade, atividade exclusivamente administrativa e permitida cumulação com recebimento de diárias.</w:t>
      </w:r>
    </w:p>
    <w:p>
      <w:pPr>
        <w:pStyle w:val="normal11"/>
        <w:spacing w:lineRule="auto" w:line="240"/>
        <w:jc w:val="both"/>
        <w:rPr>
          <w:u w:val="none"/>
        </w:rPr>
      </w:pPr>
      <w:r>
        <w:rPr>
          <w:b w:val="false"/>
          <w:bCs w:val="false"/>
          <w:sz w:val="22"/>
          <w:szCs w:val="22"/>
          <w:u w:val="none"/>
        </w:rPr>
        <w:t xml:space="preserve">E) Permanente, exclusivamente operacional e sem limites mensal de jornadas.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61. A realização das despesas com recursos do Fundo Rotativo só poderá ocorrer em caráter excepcional e em conformidade com a legislação e normas administrativas vigentes, ou seja:</w:t>
      </w:r>
    </w:p>
    <w:p>
      <w:pPr>
        <w:pStyle w:val="normal11"/>
        <w:spacing w:lineRule="auto" w:line="240"/>
        <w:jc w:val="both"/>
        <w:rPr>
          <w:u w:val="none"/>
        </w:rPr>
      </w:pPr>
      <w:r>
        <w:rPr>
          <w:b w:val="false"/>
          <w:bCs w:val="false"/>
          <w:sz w:val="22"/>
          <w:szCs w:val="22"/>
          <w:u w:val="none"/>
        </w:rPr>
        <w:t xml:space="preserve">A) Quando a Unidade não registrou o PPD no prazo estabelecido.</w:t>
      </w:r>
    </w:p>
    <w:p>
      <w:pPr>
        <w:pStyle w:val="normal11"/>
        <w:spacing w:lineRule="auto" w:line="240"/>
        <w:jc w:val="both"/>
        <w:rPr>
          <w:u w:val="none"/>
        </w:rPr>
      </w:pPr>
      <w:r>
        <w:rPr>
          <w:b w:val="false"/>
          <w:bCs w:val="false"/>
          <w:sz w:val="22"/>
          <w:szCs w:val="22"/>
          <w:u w:val="none"/>
        </w:rPr>
        <w:t xml:space="preserve">B) Quando o material disponível em estoque no almoxarifado não foi retirado pela Unidade ou não foi entregue pelo Setor responsável pela distribuição na quantidade solicitada e no tempo necessário.</w:t>
      </w:r>
    </w:p>
    <w:p>
      <w:pPr>
        <w:pStyle w:val="normal11"/>
        <w:spacing w:lineRule="auto" w:line="240"/>
        <w:jc w:val="both"/>
        <w:rPr>
          <w:u w:val="none"/>
        </w:rPr>
      </w:pPr>
      <w:r>
        <w:rPr>
          <w:b w:val="false"/>
          <w:bCs w:val="false"/>
          <w:sz w:val="22"/>
          <w:szCs w:val="22"/>
          <w:u w:val="none"/>
        </w:rPr>
        <w:t xml:space="preserve">C) Quando a empresa contratada do Estado fornecer material insuficiente ou de baixa qualidade.</w:t>
      </w:r>
    </w:p>
    <w:p>
      <w:pPr>
        <w:pStyle w:val="normal11"/>
        <w:spacing w:lineRule="auto" w:line="240"/>
        <w:jc w:val="both"/>
        <w:rPr>
          <w:u w:val="none"/>
        </w:rPr>
      </w:pPr>
      <w:r>
        <w:rPr>
          <w:b w:val="false"/>
          <w:bCs w:val="false"/>
          <w:sz w:val="22"/>
          <w:szCs w:val="22"/>
          <w:u w:val="none"/>
        </w:rPr>
        <w:t xml:space="preserve">D) Quando previamente verificada a impossibilidade de aquisição/contratação por meio de processo licitatório vigente e a indisponibilidade do material em estoque no Almoxarifado.</w:t>
      </w:r>
    </w:p>
    <w:p>
      <w:pPr>
        <w:pStyle w:val="normal11"/>
        <w:spacing w:lineRule="auto" w:line="240"/>
        <w:jc w:val="both"/>
        <w:rPr>
          <w:u w:val="none"/>
        </w:rPr>
      </w:pPr>
      <w:r>
        <w:rPr>
          <w:b w:val="false"/>
          <w:bCs w:val="false"/>
          <w:sz w:val="22"/>
          <w:szCs w:val="22"/>
          <w:u w:val="none"/>
        </w:rPr>
        <w:t xml:space="preserve">E) O pagamento só poderá ser realizado após a aprovação da Assembleia Legislativa.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62. A Polícia Civil do Estado do Paraná é regida, sob o aspecto funcional, por qual legislação estadual?</w:t>
      </w:r>
    </w:p>
    <w:p>
      <w:pPr>
        <w:pStyle w:val="normal11"/>
        <w:spacing w:lineRule="auto" w:line="240"/>
        <w:jc w:val="both"/>
        <w:rPr>
          <w:u w:val="none"/>
        </w:rPr>
      </w:pPr>
      <w:r>
        <w:rPr>
          <w:b w:val="false"/>
          <w:bCs w:val="false"/>
          <w:sz w:val="22"/>
          <w:szCs w:val="22"/>
          <w:u w:val="none"/>
        </w:rPr>
        <w:t xml:space="preserve">A) Lei Complementar n.º 258, de 2022.</w:t>
      </w:r>
    </w:p>
    <w:p>
      <w:pPr>
        <w:pStyle w:val="normal11"/>
        <w:spacing w:lineRule="auto" w:line="240"/>
        <w:jc w:val="both"/>
        <w:rPr>
          <w:u w:val="none"/>
        </w:rPr>
      </w:pPr>
      <w:r>
        <w:rPr>
          <w:b w:val="false"/>
          <w:bCs w:val="false"/>
          <w:sz w:val="22"/>
          <w:szCs w:val="22"/>
          <w:u w:val="none"/>
        </w:rPr>
        <w:t xml:space="preserve">B) Lei Complementar n.º 259, de 2022.</w:t>
      </w:r>
    </w:p>
    <w:p>
      <w:pPr>
        <w:pStyle w:val="normal11"/>
        <w:spacing w:lineRule="auto" w:line="240"/>
        <w:jc w:val="both"/>
        <w:rPr>
          <w:u w:val="none"/>
        </w:rPr>
      </w:pPr>
      <w:r>
        <w:rPr>
          <w:b w:val="false"/>
          <w:bCs w:val="false"/>
          <w:sz w:val="22"/>
          <w:szCs w:val="22"/>
          <w:u w:val="none"/>
        </w:rPr>
        <w:t xml:space="preserve">C) Lei Complementar n.º 258, de 2023.</w:t>
      </w:r>
    </w:p>
    <w:p>
      <w:pPr>
        <w:pStyle w:val="normal11"/>
        <w:spacing w:lineRule="auto" w:line="240"/>
        <w:jc w:val="both"/>
        <w:rPr>
          <w:u w:val="none"/>
        </w:rPr>
      </w:pPr>
      <w:r>
        <w:rPr>
          <w:b w:val="false"/>
          <w:bCs w:val="false"/>
          <w:sz w:val="22"/>
          <w:szCs w:val="22"/>
          <w:u w:val="none"/>
        </w:rPr>
        <w:t xml:space="preserve">D) Lei Complementar n.º 259, de 2023.</w:t>
      </w:r>
    </w:p>
    <w:p>
      <w:pPr>
        <w:pStyle w:val="normal11"/>
        <w:spacing w:lineRule="auto" w:line="240"/>
        <w:jc w:val="both"/>
        <w:rPr>
          <w:u w:val="none"/>
        </w:rPr>
      </w:pPr>
      <w:r>
        <w:rPr>
          <w:b w:val="false"/>
          <w:bCs w:val="false"/>
          <w:sz w:val="22"/>
          <w:szCs w:val="22"/>
          <w:u w:val="none"/>
        </w:rPr>
        <w:t xml:space="preserve">E) Lei Complementar n.º 260, de 2023.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63. A Lei Orgânica da Polícia Civil, sancionada sob n.º 23.213, de 2026, estabelece a estrutura organizacional básica com os seguintes órgãos:I - Nível de Direção Superior: Delegacia-Geral, Conselho Superior de Polícia e Corregedoria-Geral de Polícia;II - Nível de Assessoramento: Diretor-Geral, Chefe de Gabinete e Departamento de Controle InternoIII - Nível Instrumental: Escola Superior da Polícia Civil, Coordenadoria de Operações Integradas e Departamento de Inteligência Policla;IV - Nível de Execução: Instituto de Identificação e Departamentos e Unidades de Polícia Judiciária e Investigação Criminal.Estão corretas as seguintes assertivas supramencionadas:</w:t>
      </w:r>
    </w:p>
    <w:p>
      <w:pPr>
        <w:pStyle w:val="normal11"/>
        <w:spacing w:lineRule="auto" w:line="240"/>
        <w:jc w:val="both"/>
        <w:rPr>
          <w:u w:val="none"/>
        </w:rPr>
      </w:pPr>
      <w:r>
        <w:rPr>
          <w:b w:val="false"/>
          <w:bCs w:val="false"/>
          <w:sz w:val="22"/>
          <w:szCs w:val="22"/>
          <w:u w:val="none"/>
        </w:rPr>
        <w:t xml:space="preserve">A) Apenas a I, II e III.</w:t>
      </w:r>
    </w:p>
    <w:p>
      <w:pPr>
        <w:pStyle w:val="normal11"/>
        <w:spacing w:lineRule="auto" w:line="240"/>
        <w:jc w:val="both"/>
        <w:rPr>
          <w:u w:val="none"/>
        </w:rPr>
      </w:pPr>
      <w:r>
        <w:rPr>
          <w:b w:val="false"/>
          <w:bCs w:val="false"/>
          <w:sz w:val="22"/>
          <w:szCs w:val="22"/>
          <w:u w:val="none"/>
        </w:rPr>
        <w:t xml:space="preserve">B) Apenas a II e IV.</w:t>
      </w:r>
    </w:p>
    <w:p>
      <w:pPr>
        <w:pStyle w:val="normal11"/>
        <w:spacing w:lineRule="auto" w:line="240"/>
        <w:jc w:val="both"/>
        <w:rPr>
          <w:u w:val="none"/>
        </w:rPr>
      </w:pPr>
      <w:r>
        <w:rPr>
          <w:b w:val="false"/>
          <w:bCs w:val="false"/>
          <w:sz w:val="22"/>
          <w:szCs w:val="22"/>
          <w:u w:val="none"/>
        </w:rPr>
        <w:t xml:space="preserve">C) Apenas a I e IV.</w:t>
      </w:r>
    </w:p>
    <w:p>
      <w:pPr>
        <w:pStyle w:val="normal11"/>
        <w:spacing w:lineRule="auto" w:line="240"/>
        <w:jc w:val="both"/>
        <w:rPr>
          <w:u w:val="none"/>
        </w:rPr>
      </w:pPr>
      <w:r>
        <w:rPr>
          <w:b w:val="false"/>
          <w:bCs w:val="false"/>
          <w:sz w:val="22"/>
          <w:szCs w:val="22"/>
          <w:u w:val="none"/>
        </w:rPr>
        <w:t xml:space="preserve">D) Apenas a I, II e III.</w:t>
      </w:r>
    </w:p>
    <w:p>
      <w:pPr>
        <w:pStyle w:val="normal11"/>
        <w:spacing w:lineRule="auto" w:line="240"/>
        <w:jc w:val="both"/>
        <w:rPr>
          <w:u w:val="none"/>
        </w:rPr>
      </w:pPr>
      <w:r>
        <w:rPr>
          <w:b w:val="false"/>
          <w:bCs w:val="false"/>
          <w:sz w:val="22"/>
          <w:szCs w:val="22"/>
          <w:u w:val="none"/>
        </w:rPr>
        <w:t xml:space="preserve">E) Apenas a IV.</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Com base no material fornecido no curso de formação, o acesso direto a dados de aparelhos telefônicos apreendidos é tema de intensa discussão jurisprudencial no Superior Tribunal de Justiça (STJ). Diante das teses consolidadas pelas Turmas da referida Corte Superior e hipóteses de casos concretos discutidos em sala de aula, assinale a alternativa correta:</w:t>
      </w:r>
    </w:p>
    <w:p>
      <w:pPr>
        <w:pStyle w:val="normal11"/>
        <w:spacing w:lineRule="auto" w:line="240"/>
        <w:jc w:val="both"/>
        <w:rPr>
          <w:u w:val="none"/>
        </w:rPr>
      </w:pPr>
      <w:r>
        <w:rPr>
          <w:b w:val="false"/>
          <w:bCs w:val="false"/>
          <w:sz w:val="22"/>
          <w:szCs w:val="22"/>
          <w:u w:val="none"/>
        </w:rPr>
        <w:t xml:space="preserve">A) O acesso imediato aos dados de aparelho telefônico encontrado ilicitamente no interior de estabelecimento prisional exige prévia autorização judicial de quebra de sigilo, sob pena de nulidade absoluta por violação ao sigilo de correspondência e dados (Art. 5º, XII, CF).</w:t>
      </w:r>
    </w:p>
    <w:p>
      <w:pPr>
        <w:pStyle w:val="normal11"/>
        <w:spacing w:lineRule="auto" w:line="240"/>
        <w:jc w:val="both"/>
        <w:rPr>
          <w:u w:val="none"/>
        </w:rPr>
      </w:pPr>
      <w:r>
        <w:rPr>
          <w:b w:val="false"/>
          <w:bCs w:val="false"/>
          <w:sz w:val="22"/>
          <w:szCs w:val="22"/>
          <w:u w:val="none"/>
        </w:rPr>
        <w:t xml:space="preserve">B) O telefone celular localizado dentro de automóvel abandonado em local de crime é considerado objeto sob proteção de sigilo absoluto, sendo ilegal o acesso policial direto aos seus dados sem ordem judicial, mesmo tratando-se de res derelictae.</w:t>
      </w:r>
    </w:p>
    <w:p>
      <w:pPr>
        <w:pStyle w:val="normal11"/>
        <w:spacing w:lineRule="auto" w:line="240"/>
        <w:jc w:val="both"/>
        <w:rPr>
          <w:u w:val="none"/>
        </w:rPr>
      </w:pPr>
      <w:r>
        <w:rPr>
          <w:b w:val="false"/>
          <w:bCs w:val="false"/>
          <w:sz w:val="22"/>
          <w:szCs w:val="22"/>
          <w:u w:val="none"/>
        </w:rPr>
        <w:t xml:space="preserve">C) Nos termos do entendimento do STJ, admite-se excepcionalmente a validade do acesso incontinenti aos dados de aparelho celular sem autorização judicial prévia nos casos em que a demora na obtenção do mandado puder trazer prejuízos concretos à investigação ou à vítima, como no exemplo de celulares encontrados em cativeiro de extorsão mediante sequestro recém-abandonado.</w:t>
      </w:r>
    </w:p>
    <w:p>
      <w:pPr>
        <w:pStyle w:val="normal11"/>
        <w:spacing w:lineRule="auto" w:line="240"/>
        <w:jc w:val="both"/>
        <w:rPr>
          <w:u w:val="none"/>
        </w:rPr>
      </w:pPr>
      <w:r>
        <w:rPr>
          <w:b w:val="false"/>
          <w:bCs w:val="false"/>
          <w:sz w:val="22"/>
          <w:szCs w:val="22"/>
          <w:u w:val="none"/>
        </w:rPr>
        <w:t xml:space="preserve">D) A consulta aos dados de aparelho celular é considerada nula de pleno direito caso seja autorizada pelo proprietário mediante o fornecimento voluntário da senha de acesso.</w:t>
      </w:r>
    </w:p>
    <w:p>
      <w:pPr>
        <w:pStyle w:val="normal11"/>
        <w:spacing w:lineRule="auto" w:line="240"/>
        <w:jc w:val="both"/>
        <w:rPr>
          <w:u w:val="none"/>
        </w:rPr>
      </w:pPr>
      <w:r>
        <w:rPr>
          <w:b w:val="false"/>
          <w:bCs w:val="false"/>
          <w:sz w:val="22"/>
          <w:szCs w:val="22"/>
          <w:u w:val="none"/>
        </w:rPr>
        <w:t xml:space="preserve">E) Segundo jurisprudência do STJ, em nenhuma hipótese concreta a gravidade em abstrato do crime ou o risco iminente à integridade física da vítima podem relativizar a exigência de prévio mandado judicial para acesso aos dados telemáticos de aparelhos apreendidos.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Com base no material fornecido no curso de formação e conforme abordado em sala de aula, no planejamento da investigação de crimes contra o patrimônio, a ausência de definição do nível de profundidade e de roteirização mínima de diligências básicas pode gerar graves "aspectos práticos da falta de planejamento". No que concerne a esses impactos na esfera processual penal, assinale a alternativa correta:</w:t>
      </w:r>
    </w:p>
    <w:p>
      <w:pPr>
        <w:pStyle w:val="normal11"/>
        <w:spacing w:lineRule="auto" w:line="240"/>
        <w:jc w:val="both"/>
        <w:rPr>
          <w:u w:val="none"/>
        </w:rPr>
      </w:pPr>
      <w:r>
        <w:rPr>
          <w:b w:val="false"/>
          <w:bCs w:val="false"/>
          <w:sz w:val="22"/>
          <w:szCs w:val="22"/>
          <w:u w:val="none"/>
        </w:rPr>
        <w:t xml:space="preserve">A) O declínio de competência é um transtorno processual irrelevante para a investigação policial, uma vez que a Teoria do Juízo Aparente convalida de forma absoluta todos os atos decisórios praticados pela autoridade policial incompetente.</w:t>
      </w:r>
    </w:p>
    <w:p>
      <w:pPr>
        <w:pStyle w:val="normal11"/>
        <w:spacing w:lineRule="auto" w:line="240"/>
        <w:jc w:val="both"/>
        <w:rPr>
          <w:u w:val="none"/>
        </w:rPr>
      </w:pPr>
      <w:r>
        <w:rPr>
          <w:b w:val="false"/>
          <w:bCs w:val="false"/>
          <w:sz w:val="22"/>
          <w:szCs w:val="22"/>
          <w:u w:val="none"/>
        </w:rPr>
        <w:t xml:space="preserve">B) A falta de delimitação estratégica e planejamento prévio pelo Delegado de Polícia afeta apenas a celeridade da investigação, não gerando riscos de nulidades processuais ou revogação de prisões temporárias/preventivas.</w:t>
      </w:r>
    </w:p>
    <w:p>
      <w:pPr>
        <w:pStyle w:val="normal11"/>
        <w:spacing w:lineRule="auto" w:line="240"/>
        <w:jc w:val="both"/>
        <w:rPr>
          <w:u w:val="none"/>
        </w:rPr>
      </w:pPr>
      <w:r>
        <w:rPr>
          <w:b w:val="false"/>
          <w:bCs w:val="false"/>
          <w:sz w:val="22"/>
          <w:szCs w:val="22"/>
          <w:u w:val="none"/>
        </w:rPr>
        <w:t xml:space="preserve">C) O planejamento da investigação policial de crimes patrimoniais deve ser idêntico e padronizado para todas as ocorrências, impossibilitando qualquer adaptação tática do investigador frente ao dinamismo das ações do suspeito.</w:t>
      </w:r>
    </w:p>
    <w:p>
      <w:pPr>
        <w:pStyle w:val="normal11"/>
        <w:spacing w:lineRule="auto" w:line="240"/>
        <w:jc w:val="both"/>
        <w:rPr>
          <w:u w:val="none"/>
        </w:rPr>
      </w:pPr>
      <w:r>
        <w:rPr>
          <w:b w:val="false"/>
          <w:bCs w:val="false"/>
          <w:sz w:val="22"/>
          <w:szCs w:val="22"/>
          <w:u w:val="none"/>
        </w:rPr>
        <w:t xml:space="preserve">D) A ausência de planejamento estratégico pode ensejar transtornos severos na instrução processual, tais como o declínio de competência e brechas processuais geradoras de nulidades.</w:t>
      </w:r>
    </w:p>
    <w:p>
      <w:pPr>
        <w:pStyle w:val="normal11"/>
        <w:spacing w:lineRule="auto" w:line="240"/>
        <w:jc w:val="both"/>
        <w:rPr>
          <w:u w:val="none"/>
        </w:rPr>
      </w:pPr>
      <w:r>
        <w:rPr>
          <w:b w:val="false"/>
          <w:bCs w:val="false"/>
          <w:sz w:val="22"/>
          <w:szCs w:val="22"/>
          <w:u w:val="none"/>
        </w:rPr>
        <w:t xml:space="preserve">E) A Teoria do Juízo Aparente afasta a necessidade de o Delegado de Polícia fundamentar a competência territorial ou material no momento da representação por cautelares, transferindo essa atribuição de forma exclusiva ao Poder Judiciário.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Com base no material fornecido no curso de formação e conforme abordado em sala de aula, no curso de investigações de furtos ou roubos de celulares, as requisições de dados cadastrais destinadas aos diversos provedores de aplicação constituem diligências tecnológicas indispensáveis. Acerca do roteiro proposto e do fluxo lógico de tais requisições, assinale a alternativa correta:</w:t>
      </w:r>
    </w:p>
    <w:p>
      <w:pPr>
        <w:pStyle w:val="normal11"/>
        <w:spacing w:lineRule="auto" w:line="240"/>
        <w:jc w:val="both"/>
        <w:rPr>
          <w:u w:val="none"/>
        </w:rPr>
      </w:pPr>
      <w:r>
        <w:rPr>
          <w:b w:val="false"/>
          <w:bCs w:val="false"/>
          <w:sz w:val="22"/>
          <w:szCs w:val="22"/>
          <w:u w:val="none"/>
        </w:rPr>
        <w:t xml:space="preserve">A) O Instagram fornece diretamente os machine cookies do dispositivo, permitindo identificar o histórico completo de sites visitados pelo investigado sem necessidade de ordem judicial.</w:t>
      </w:r>
    </w:p>
    <w:p>
      <w:pPr>
        <w:pStyle w:val="normal11"/>
        <w:spacing w:lineRule="auto" w:line="240"/>
        <w:jc w:val="both"/>
        <w:rPr>
          <w:u w:val="none"/>
        </w:rPr>
      </w:pPr>
      <w:r>
        <w:rPr>
          <w:b w:val="false"/>
          <w:bCs w:val="false"/>
          <w:sz w:val="22"/>
          <w:szCs w:val="22"/>
          <w:u w:val="none"/>
        </w:rPr>
        <w:t xml:space="preserve">B) No ecossistema Google, o roteiro investigativo inicia-se obrigatoriamente pela quebra de sigilo telemático em nuvem para, somente após isso, mapear as contas de e-mail associadas ao IMEI do aparelho subtraído.</w:t>
      </w:r>
    </w:p>
    <w:p>
      <w:pPr>
        <w:pStyle w:val="normal11"/>
        <w:spacing w:lineRule="auto" w:line="240"/>
        <w:jc w:val="both"/>
        <w:rPr>
          <w:u w:val="none"/>
        </w:rPr>
      </w:pPr>
      <w:r>
        <w:rPr>
          <w:b w:val="false"/>
          <w:bCs w:val="false"/>
          <w:sz w:val="22"/>
          <w:szCs w:val="22"/>
          <w:u w:val="none"/>
        </w:rPr>
        <w:t xml:space="preserve">C) No ecossistema Google, o roteiro compreende a identificação do IMEI para se obter as contas de e-mail vinculadas; das contas de e-mail obtêm-se os dados cadastrais (como data de nascimento, telefone cadastrado e e-mail de recuperação de conta); no ecossistema Apple, por sua vez, a requisição via IMEI possibilita a identificação da conta iCloud, a qual traz inclusive o endereço cadastrado.</w:t>
      </w:r>
    </w:p>
    <w:p>
      <w:pPr>
        <w:pStyle w:val="normal11"/>
        <w:spacing w:lineRule="auto" w:line="240"/>
        <w:jc w:val="both"/>
        <w:rPr>
          <w:u w:val="none"/>
        </w:rPr>
      </w:pPr>
      <w:r>
        <w:rPr>
          <w:b w:val="false"/>
          <w:bCs w:val="false"/>
          <w:sz w:val="22"/>
          <w:szCs w:val="22"/>
          <w:u w:val="none"/>
        </w:rPr>
        <w:t xml:space="preserve">D) Através de requisição extrajudicial, o Delegado de Polícia, pode solicitar, via plataforma Facebook Records, todos os logs de acesso de um determinado perfil.</w:t>
      </w:r>
    </w:p>
    <w:p>
      <w:pPr>
        <w:pStyle w:val="normal11"/>
        <w:spacing w:lineRule="auto" w:line="240"/>
        <w:jc w:val="both"/>
        <w:rPr>
          <w:u w:val="none"/>
        </w:rPr>
      </w:pPr>
      <w:r>
        <w:rPr>
          <w:b w:val="false"/>
          <w:bCs w:val="false"/>
          <w:sz w:val="22"/>
          <w:szCs w:val="22"/>
          <w:u w:val="none"/>
        </w:rPr>
        <w:t xml:space="preserve">E) O pedido de preservação de dados e perfis cadastrais junto à Google e à Apple só possui eficácia jurídica se for processado por via diplomática, sendo vedada a requisição policial direta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67.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69.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 – 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73.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74.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"soldado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75.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76.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78.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79.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80. As limitações à teoria da prova ilícita por derivação são fundamentais para equilibrar a busca da verdade processualmente válida e as garantias constitucionais. No que tange à Teoria da Descoberta Inevitável abordada no texto, assinale a opção correta:</w:t>
      </w:r>
    </w:p>
    <w:p>
      <w:pPr>
        <w:pStyle w:val="normal11"/>
        <w:spacing w:lineRule="auto" w:line="240"/>
        <w:jc w:val="both"/>
        <w:rPr>
          <w:u w:val="none"/>
        </w:rPr>
      </w:pPr>
      <w:r>
        <w:rPr>
          <w:b w:val="false"/>
          <w:bCs w:val="false"/>
          <w:sz w:val="22"/>
          <w:szCs w:val="22"/>
          <w:u w:val="none"/>
        </w:rPr>
        <w:t xml:space="preserve">A) Determina que qualquer prova obtida a partir de denúncia anônima é inteiramente lícita se o réu confessar em juízo.</w:t>
      </w:r>
    </w:p>
    <w:p>
      <w:pPr>
        <w:pStyle w:val="normal11"/>
        <w:spacing w:lineRule="auto" w:line="240"/>
        <w:jc w:val="both"/>
        <w:rPr>
          <w:u w:val="none"/>
        </w:rPr>
      </w:pPr>
      <w:r>
        <w:rPr>
          <w:b w:val="false"/>
          <w:bCs w:val="false"/>
          <w:sz w:val="22"/>
          <w:szCs w:val="22"/>
          <w:u w:val="none"/>
        </w:rPr>
        <w:t xml:space="preserve">B) Considera válida a prova derivada da ilícita se restar demonstrado que a mesma seria produzida de qualquer modo, independentemente da prova ilícita originária.</w:t>
      </w:r>
    </w:p>
    <w:p>
      <w:pPr>
        <w:pStyle w:val="normal11"/>
        <w:spacing w:lineRule="auto" w:line="240"/>
        <w:jc w:val="both"/>
        <w:rPr>
          <w:u w:val="none"/>
        </w:rPr>
      </w:pPr>
      <w:r>
        <w:rPr>
          <w:b w:val="false"/>
          <w:bCs w:val="false"/>
          <w:sz w:val="22"/>
          <w:szCs w:val="22"/>
          <w:u w:val="none"/>
        </w:rPr>
        <w:t xml:space="preserve">C) Consiste no encontro fortuito ou casual de provas pertinentes a outra infração penal que não estavam na linha de desdobramento da busca.</w:t>
      </w:r>
    </w:p>
    <w:p>
      <w:pPr>
        <w:pStyle w:val="normal11"/>
        <w:spacing w:lineRule="auto" w:line="240"/>
        <w:jc w:val="both"/>
        <w:rPr>
          <w:u w:val="none"/>
        </w:rPr>
      </w:pPr>
      <w:r>
        <w:rPr>
          <w:b w:val="false"/>
          <w:bCs w:val="false"/>
          <w:sz w:val="22"/>
          <w:szCs w:val="22"/>
          <w:u w:val="none"/>
        </w:rPr>
        <w:t xml:space="preserve">D) Permite que conhecimentos particulares do magistrado sirvam como prova no processo mesmo sem registro nos autos.</w:t>
      </w:r>
    </w:p>
    <w:p>
      <w:pPr>
        <w:pStyle w:val="normal11"/>
        <w:spacing w:lineRule="auto" w:line="240"/>
        <w:jc w:val="both"/>
        <w:rPr>
          <w:u w:val="none"/>
        </w:rPr>
      </w:pPr>
      <w:r>
        <w:rPr>
          <w:b w:val="false"/>
          <w:bCs w:val="false"/>
          <w:sz w:val="22"/>
          <w:szCs w:val="22"/>
          <w:u w:val="none"/>
        </w:rPr>
        <w:t xml:space="preserve">E) Exige que voluntários realizem varreduras em todos os casos de crimes de furto qualificado.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81.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82.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âmbito da Verificação de Procedência da Informação (VPI/BOA), procedimento investigativo preliminar de polícia judiciária, a atividade cartorária é simplificada e serve como filtro para evitar a movimentação desnecessária da máquina estatal. De acordo com as diretrizes do manual, uma peça cartorária específica está expressamente excluída do esqueleto do BOA/VPI, devendo sua realização ocorrer apenas após a instauração do Inquérito Policial propriamente dito. Qual é essa peça?</w:t>
      </w:r>
    </w:p>
    <w:p>
      <w:pPr>
        <w:pStyle w:val="normal11"/>
        <w:spacing w:lineRule="auto" w:line="240"/>
        <w:jc w:val="both"/>
        <w:rPr>
          <w:u w:val="none"/>
        </w:rPr>
      </w:pPr>
      <w:r>
        <w:rPr>
          <w:b w:val="false"/>
          <w:bCs w:val="false"/>
          <w:sz w:val="22"/>
          <w:szCs w:val="22"/>
          <w:u w:val="none"/>
        </w:rPr>
        <w:t xml:space="preserve">A) Relatório de Diligências Preliminares.</w:t>
      </w:r>
    </w:p>
    <w:p>
      <w:pPr>
        <w:pStyle w:val="normal11"/>
        <w:spacing w:lineRule="auto" w:line="240"/>
        <w:jc w:val="both"/>
        <w:rPr>
          <w:u w:val="none"/>
        </w:rPr>
      </w:pPr>
      <w:r>
        <w:rPr>
          <w:b w:val="false"/>
          <w:bCs w:val="false"/>
          <w:sz w:val="22"/>
          <w:szCs w:val="22"/>
          <w:u w:val="none"/>
        </w:rPr>
        <w:t xml:space="preserve">B) Despacho Conclusivo da Autoridade Policial.</w:t>
      </w:r>
    </w:p>
    <w:p>
      <w:pPr>
        <w:pStyle w:val="normal11"/>
        <w:spacing w:lineRule="auto" w:line="240"/>
        <w:jc w:val="both"/>
        <w:rPr>
          <w:u w:val="none"/>
        </w:rPr>
      </w:pPr>
      <w:r>
        <w:rPr>
          <w:b w:val="false"/>
          <w:bCs w:val="false"/>
          <w:sz w:val="22"/>
          <w:szCs w:val="22"/>
          <w:u w:val="none"/>
        </w:rPr>
        <w:t xml:space="preserve">C) Termo de Interrogatório do Investigado.</w:t>
      </w:r>
    </w:p>
    <w:p>
      <w:pPr>
        <w:pStyle w:val="normal11"/>
        <w:spacing w:lineRule="auto" w:line="240"/>
        <w:jc w:val="both"/>
        <w:rPr>
          <w:u w:val="none"/>
        </w:rPr>
      </w:pPr>
      <w:r>
        <w:rPr>
          <w:b w:val="false"/>
          <w:bCs w:val="false"/>
          <w:sz w:val="22"/>
          <w:szCs w:val="22"/>
          <w:u w:val="none"/>
        </w:rPr>
        <w:t xml:space="preserve">D) Boletim de Ocorrência (BO) inaugural.</w:t>
      </w:r>
    </w:p>
    <w:p>
      <w:pPr>
        <w:pStyle w:val="normal11"/>
        <w:spacing w:lineRule="auto" w:line="240"/>
        <w:jc w:val="both"/>
        <w:rPr>
          <w:u w:val="none"/>
        </w:rPr>
      </w:pPr>
      <w:r>
        <w:rPr>
          <w:b w:val="false"/>
          <w:bCs w:val="false"/>
          <w:sz w:val="22"/>
          <w:szCs w:val="22"/>
          <w:u w:val="none"/>
        </w:rPr>
        <w:t xml:space="preserve">E) Despacho de Instauração de VPI/BOA.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O Boletim em Análise (BOA) / Verificação de Procedência da Informação (VPI) constitui importante salvaguarda jurídica para a atuação policial. Em conformidade com a Instrução Normativa 03/2019 da CGPC citada no manual, assinale a alternativa que apresenta o prazo limite para a realização das diligências de verificação e a autoridade competente para julgar eventual recurso interposto contra a decisão que indeferir a abertura de inquérito policial e arquivar o feito preliminar:</w:t>
      </w:r>
    </w:p>
    <w:p>
      <w:pPr>
        <w:pStyle w:val="normal11"/>
        <w:spacing w:lineRule="auto" w:line="240"/>
        <w:jc w:val="both"/>
        <w:rPr>
          <w:u w:val="none"/>
        </w:rPr>
      </w:pPr>
      <w:r>
        <w:rPr>
          <w:b w:val="false"/>
          <w:bCs w:val="false"/>
          <w:sz w:val="22"/>
          <w:szCs w:val="22"/>
          <w:u w:val="none"/>
        </w:rPr>
        <w:t xml:space="preserve">A) Prazo de 30 (trinta) dias; cabe recurso ao Ministério Público do Estado.</w:t>
      </w:r>
    </w:p>
    <w:p>
      <w:pPr>
        <w:pStyle w:val="normal11"/>
        <w:spacing w:lineRule="auto" w:line="240"/>
        <w:jc w:val="both"/>
        <w:rPr>
          <w:u w:val="none"/>
        </w:rPr>
      </w:pPr>
      <w:r>
        <w:rPr>
          <w:b w:val="false"/>
          <w:bCs w:val="false"/>
          <w:sz w:val="22"/>
          <w:szCs w:val="22"/>
          <w:u w:val="none"/>
        </w:rPr>
        <w:t xml:space="preserve">B) Prazo de 60 (sessenta) dias; cabe recurso ao Juiz de Direito da Vara Criminal.</w:t>
      </w:r>
    </w:p>
    <w:p>
      <w:pPr>
        <w:pStyle w:val="normal11"/>
        <w:spacing w:lineRule="auto" w:line="240"/>
        <w:jc w:val="both"/>
        <w:rPr>
          <w:u w:val="none"/>
        </w:rPr>
      </w:pPr>
      <w:r>
        <w:rPr>
          <w:b w:val="false"/>
          <w:bCs w:val="false"/>
          <w:sz w:val="22"/>
          <w:szCs w:val="22"/>
          <w:u w:val="none"/>
        </w:rPr>
        <w:t xml:space="preserve">C) Prazo de 90 (noventa) dias; cabe recurso ao Secretário de Estado da Segurança Pública.</w:t>
      </w:r>
    </w:p>
    <w:p>
      <w:pPr>
        <w:pStyle w:val="normal11"/>
        <w:spacing w:lineRule="auto" w:line="240"/>
        <w:jc w:val="both"/>
        <w:rPr>
          <w:u w:val="none"/>
        </w:rPr>
      </w:pPr>
      <w:r>
        <w:rPr>
          <w:b w:val="false"/>
          <w:bCs w:val="false"/>
          <w:sz w:val="22"/>
          <w:szCs w:val="22"/>
          <w:u w:val="none"/>
        </w:rPr>
        <w:t xml:space="preserve">D) Prazo de 90 (noventa) dias; cabe recurso ao Chefe de Polícia.</w:t>
      </w:r>
    </w:p>
    <w:p>
      <w:pPr>
        <w:pStyle w:val="normal11"/>
        <w:spacing w:lineRule="auto" w:line="240"/>
        <w:jc w:val="both"/>
        <w:rPr>
          <w:u w:val="none"/>
        </w:rPr>
      </w:pPr>
      <w:r>
        <w:rPr>
          <w:b w:val="false"/>
          <w:bCs w:val="false"/>
          <w:sz w:val="22"/>
          <w:szCs w:val="22"/>
          <w:u w:val="none"/>
        </w:rPr>
        <w:t xml:space="preserve">E) Prazo de 120 (cento e vinte) dias; cabe recurso ao Corregedor-Geral da Polícia Civil.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89. Durante a formalização do Auto de Prisão em Flagrante Delito (APFD), é comum que surjam dúvidas práticas a respeito dos direitos constitucionais assegurados ao custodiado. Sob a ótica do manual de procedimentos policiais e no que tange ao chamado "Mito da Ligação Telefônica" (Direito de Comunicação), assinale a alternativa correta:</w:t>
      </w:r>
    </w:p>
    <w:p>
      <w:pPr>
        <w:pStyle w:val="normal11"/>
        <w:spacing w:lineRule="auto" w:line="240"/>
        <w:jc w:val="both"/>
        <w:rPr>
          <w:u w:val="none"/>
        </w:rPr>
      </w:pPr>
      <w:r>
        <w:rPr>
          <w:b w:val="false"/>
          <w:bCs w:val="false"/>
          <w:sz w:val="22"/>
          <w:szCs w:val="22"/>
          <w:u w:val="none"/>
        </w:rPr>
        <w:t xml:space="preserve">A) O preso em flagrante possui o direito subjetivo e incondicionado de realizar diretamente ligações telefônicas pessoais de seu próprio aparelho para quem desejar.</w:t>
      </w:r>
    </w:p>
    <w:p>
      <w:pPr>
        <w:pStyle w:val="normal11"/>
        <w:spacing w:lineRule="auto" w:line="240"/>
        <w:jc w:val="both"/>
        <w:rPr>
          <w:u w:val="none"/>
        </w:rPr>
      </w:pPr>
      <w:r>
        <w:rPr>
          <w:b w:val="false"/>
          <w:bCs w:val="false"/>
          <w:sz w:val="22"/>
          <w:szCs w:val="22"/>
          <w:u w:val="none"/>
        </w:rPr>
        <w:t xml:space="preserve">B) O preso não tem o direito de realizar pessoalmente uma ligação telefônica, cabendo ao Estado, na figura do Policial Civil, realizar a comunicação da prisão e do local onde ele se encontra à família ou pessoa indicada.</w:t>
      </w:r>
    </w:p>
    <w:p>
      <w:pPr>
        <w:pStyle w:val="normal11"/>
        <w:spacing w:lineRule="auto" w:line="240"/>
        <w:jc w:val="both"/>
        <w:rPr>
          <w:u w:val="none"/>
        </w:rPr>
      </w:pPr>
      <w:r>
        <w:rPr>
          <w:b w:val="false"/>
          <w:bCs w:val="false"/>
          <w:sz w:val="22"/>
          <w:szCs w:val="22"/>
          <w:u w:val="none"/>
        </w:rPr>
        <w:t xml:space="preserve">C) A comunicação da prisão à família é um ato facultativo da autoridade de polícia judiciária, sendo obrigatória apenas a notificação formal ao Ministério Público e ao Juiz.</w:t>
      </w:r>
    </w:p>
    <w:p>
      <w:pPr>
        <w:pStyle w:val="normal11"/>
        <w:spacing w:lineRule="auto" w:line="240"/>
        <w:jc w:val="both"/>
        <w:rPr>
          <w:u w:val="none"/>
        </w:rPr>
      </w:pPr>
      <w:r>
        <w:rPr>
          <w:b w:val="false"/>
          <w:bCs w:val="false"/>
          <w:sz w:val="22"/>
          <w:szCs w:val="22"/>
          <w:u w:val="none"/>
        </w:rPr>
        <w:t xml:space="preserve">D) Por questões de sigilo da investigação de plantão, o policial civil está proibido de fazer contatos telefônicos externos para informar sobre a realização de prisões.</w:t>
      </w:r>
    </w:p>
    <w:p>
      <w:pPr>
        <w:pStyle w:val="normal11"/>
        <w:spacing w:lineRule="auto" w:line="240"/>
        <w:jc w:val="both"/>
        <w:rPr>
          <w:u w:val="none"/>
        </w:rPr>
      </w:pPr>
      <w:r>
        <w:rPr>
          <w:b w:val="false"/>
          <w:bCs w:val="false"/>
          <w:sz w:val="22"/>
          <w:szCs w:val="22"/>
          <w:u w:val="none"/>
        </w:rPr>
        <w:t xml:space="preserve">E) O direito de comunicação considera-se plenamente satisfeito com a entrega física da Nota de Culpa ao detido, não gerando obrigações de contato por parte da equipe de plantão.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90.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91.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93. Analise a lesão abaixo e pode concluir que:</w:t>
        <w:br/>
        <w:t xml:space="preserve">[A imagem referente a esta questão encontra-se no documento anexo.]</w:t>
      </w:r>
    </w:p>
    <w:p>
      <w:pPr>
        <w:pStyle w:val="normal11"/>
        <w:spacing w:lineRule="auto" w:line="240"/>
        <w:jc w:val="both"/>
        <w:rPr>
          <w:u w:val="none"/>
        </w:rPr>
      </w:pPr>
      <w:r>
        <w:rPr>
          <w:b w:val="false"/>
          <w:bCs w:val="false"/>
          <w:sz w:val="22"/>
          <w:szCs w:val="22"/>
          <w:u w:val="none"/>
        </w:rPr>
        <w:t xml:space="preserve">A) A distância do disparo foi de mais de dois metros.</w:t>
      </w:r>
    </w:p>
    <w:p>
      <w:pPr>
        <w:pStyle w:val="normal11"/>
        <w:spacing w:lineRule="auto" w:line="240"/>
        <w:jc w:val="both"/>
        <w:rPr>
          <w:u w:val="none"/>
        </w:rPr>
      </w:pPr>
      <w:r>
        <w:rPr>
          <w:b w:val="false"/>
          <w:bCs w:val="false"/>
          <w:sz w:val="22"/>
          <w:szCs w:val="22"/>
          <w:u w:val="none"/>
        </w:rPr>
        <w:t xml:space="preserve">B) O disparo foi com o cano da arma encostado.</w:t>
      </w:r>
    </w:p>
    <w:p>
      <w:pPr>
        <w:pStyle w:val="normal11"/>
        <w:spacing w:lineRule="auto" w:line="240"/>
        <w:jc w:val="both"/>
        <w:rPr>
          <w:u w:val="none"/>
        </w:rPr>
      </w:pPr>
      <w:r>
        <w:rPr>
          <w:b w:val="false"/>
          <w:bCs w:val="false"/>
          <w:sz w:val="22"/>
          <w:szCs w:val="22"/>
          <w:u w:val="none"/>
        </w:rPr>
        <w:t xml:space="preserve">C) O disparo foi de longa distância após a morte.</w:t>
      </w:r>
    </w:p>
    <w:p>
      <w:pPr>
        <w:pStyle w:val="normal11"/>
        <w:spacing w:lineRule="auto" w:line="240"/>
        <w:jc w:val="both"/>
        <w:rPr>
          <w:u w:val="none"/>
        </w:rPr>
      </w:pPr>
      <w:r>
        <w:rPr>
          <w:b w:val="false"/>
          <w:bCs w:val="false"/>
          <w:sz w:val="22"/>
          <w:szCs w:val="22"/>
          <w:u w:val="none"/>
        </w:rPr>
        <w:t xml:space="preserve">D) Observa-se nitidamente a Câmara de Mina de Hoffmann.</w:t>
      </w:r>
    </w:p>
    <w:p>
      <w:pPr>
        <w:pStyle w:val="normal11"/>
        <w:spacing w:lineRule="auto" w:line="240"/>
        <w:jc w:val="both"/>
        <w:rPr>
          <w:u w:val="none"/>
        </w:rPr>
      </w:pPr>
      <w:r>
        <w:rPr>
          <w:b w:val="false"/>
          <w:bCs w:val="false"/>
          <w:sz w:val="22"/>
          <w:szCs w:val="22"/>
          <w:u w:val="none"/>
        </w:rPr>
        <w:t xml:space="preserve">E) O disparo foi de curta distância.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94. Com relação a arcada dentária e DNA para identificação judiciária, assinale a alternativa correta.</w:t>
      </w:r>
    </w:p>
    <w:p>
      <w:pPr>
        <w:pStyle w:val="normal11"/>
        <w:spacing w:lineRule="auto" w:line="240"/>
        <w:jc w:val="both"/>
        <w:rPr>
          <w:u w:val="none"/>
        </w:rPr>
      </w:pPr>
      <w:r>
        <w:rPr>
          <w:b w:val="false"/>
          <w:bCs w:val="false"/>
          <w:sz w:val="22"/>
          <w:szCs w:val="22"/>
          <w:u w:val="none"/>
        </w:rPr>
        <w:t xml:space="preserve">A) Ambos são imutáveis e ainda o DNA não pode ser classificado.</w:t>
      </w:r>
    </w:p>
    <w:p>
      <w:pPr>
        <w:pStyle w:val="normal11"/>
        <w:spacing w:lineRule="auto" w:line="240"/>
        <w:jc w:val="both"/>
        <w:rPr>
          <w:u w:val="none"/>
        </w:rPr>
      </w:pPr>
      <w:r>
        <w:rPr>
          <w:b w:val="false"/>
          <w:bCs w:val="false"/>
          <w:sz w:val="22"/>
          <w:szCs w:val="22"/>
          <w:u w:val="none"/>
        </w:rPr>
        <w:t xml:space="preserve">B) A arcada dentária tem resultado mais demorado em razão da procura de arquivo para comparação, enquanto o DNA não tem esse empecilho.</w:t>
      </w:r>
    </w:p>
    <w:p>
      <w:pPr>
        <w:pStyle w:val="normal11"/>
        <w:spacing w:lineRule="auto" w:line="240"/>
        <w:jc w:val="both"/>
        <w:rPr>
          <w:u w:val="none"/>
        </w:rPr>
      </w:pPr>
      <w:r>
        <w:rPr>
          <w:b w:val="false"/>
          <w:bCs w:val="false"/>
          <w:sz w:val="22"/>
          <w:szCs w:val="22"/>
          <w:u w:val="none"/>
        </w:rPr>
        <w:t xml:space="preserve">C) A arcada dentária pode ser utilizada para identificação de corpos em putrefação avançada, o DNA nesta caso não pode em virtude da destruição dos tecidos.</w:t>
      </w:r>
    </w:p>
    <w:p>
      <w:pPr>
        <w:pStyle w:val="normal11"/>
        <w:spacing w:lineRule="auto" w:line="240"/>
        <w:jc w:val="both"/>
        <w:rPr>
          <w:u w:val="none"/>
        </w:rPr>
      </w:pPr>
      <w:r>
        <w:rPr>
          <w:b w:val="false"/>
          <w:bCs w:val="false"/>
          <w:sz w:val="22"/>
          <w:szCs w:val="22"/>
          <w:u w:val="none"/>
        </w:rPr>
        <w:t xml:space="preserve">D) Uma desvantagem da identificação pela arcada dentária é o fato dela ser mutável com o tempo ou por vontade.</w:t>
      </w:r>
    </w:p>
    <w:p>
      <w:pPr>
        <w:pStyle w:val="normal11"/>
        <w:spacing w:lineRule="auto" w:line="240"/>
        <w:jc w:val="both"/>
        <w:rPr>
          <w:u w:val="none"/>
        </w:rPr>
      </w:pPr>
      <w:r>
        <w:rPr>
          <w:b w:val="false"/>
          <w:bCs w:val="false"/>
          <w:sz w:val="22"/>
          <w:szCs w:val="22"/>
          <w:u w:val="none"/>
        </w:rPr>
        <w:t xml:space="preserve">E) O DNA tem mais confiabilidade em razão de ser imutável, por isso é considerado o método perfeito.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Quanto a classificação dos projéteis de armas de fogo responda: os projéteis deformáveis foram desenvolvidos para:</w:t>
      </w:r>
    </w:p>
    <w:p>
      <w:pPr>
        <w:pStyle w:val="normal11"/>
        <w:spacing w:lineRule="auto" w:line="240"/>
        <w:jc w:val="both"/>
        <w:rPr>
          <w:u w:val="none"/>
        </w:rPr>
      </w:pPr>
      <w:r>
        <w:rPr>
          <w:b w:val="false"/>
          <w:bCs w:val="false"/>
          <w:sz w:val="22"/>
          <w:szCs w:val="22"/>
          <w:u w:val="none"/>
        </w:rPr>
        <w:t xml:space="preserve">A) Aumentar a velocidade do projétil.</w:t>
      </w:r>
    </w:p>
    <w:p>
      <w:pPr>
        <w:pStyle w:val="normal11"/>
        <w:spacing w:lineRule="auto" w:line="240"/>
        <w:jc w:val="both"/>
        <w:rPr>
          <w:u w:val="none"/>
        </w:rPr>
      </w:pPr>
      <w:r>
        <w:rPr>
          <w:b w:val="false"/>
          <w:bCs w:val="false"/>
          <w:sz w:val="22"/>
          <w:szCs w:val="22"/>
          <w:u w:val="none"/>
        </w:rPr>
        <w:t xml:space="preserve">B) Aumentar a energia dissipada no alvo ocasionando maior lesão.</w:t>
      </w:r>
    </w:p>
    <w:p>
      <w:pPr>
        <w:pStyle w:val="normal11"/>
        <w:spacing w:lineRule="auto" w:line="240"/>
        <w:jc w:val="both"/>
        <w:rPr>
          <w:u w:val="none"/>
        </w:rPr>
      </w:pPr>
      <w:r>
        <w:rPr>
          <w:b w:val="false"/>
          <w:bCs w:val="false"/>
          <w:sz w:val="22"/>
          <w:szCs w:val="22"/>
          <w:u w:val="none"/>
        </w:rPr>
        <w:t xml:space="preserve">C) Atingir grandes distâncias de acordo com a balística externa.</w:t>
      </w:r>
    </w:p>
    <w:p>
      <w:pPr>
        <w:pStyle w:val="normal11"/>
        <w:spacing w:lineRule="auto" w:line="240"/>
        <w:jc w:val="both"/>
        <w:rPr>
          <w:u w:val="none"/>
        </w:rPr>
      </w:pPr>
      <w:r>
        <w:rPr>
          <w:b w:val="false"/>
          <w:bCs w:val="false"/>
          <w:sz w:val="22"/>
          <w:szCs w:val="22"/>
          <w:u w:val="none"/>
        </w:rPr>
        <w:t xml:space="preserve">D) Transfixar os corpos das vítimas com sobra de energia.</w:t>
      </w:r>
    </w:p>
    <w:p>
      <w:pPr>
        <w:pStyle w:val="normal11"/>
        <w:spacing w:lineRule="auto" w:line="240"/>
        <w:jc w:val="both"/>
        <w:rPr>
          <w:u w:val="none"/>
        </w:rPr>
      </w:pPr>
      <w:r>
        <w:rPr>
          <w:b w:val="false"/>
          <w:bCs w:val="false"/>
          <w:sz w:val="22"/>
          <w:szCs w:val="22"/>
          <w:u w:val="none"/>
        </w:rPr>
        <w:t xml:space="preserve">E) Diminuir a letalidade dos disparos da polícia.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96. Uma vítima de acidente de trânsito sofreu fratura de fêmur direito e traumatismo craniano. Ficou internado por 45 dias e teve alta hospitalar com pequena sequela neurológica. Após 15 dias apresenta quadro infeccioso pulmonar, retorna ao hospital e morre no sexto dia de internamento. Qual a conduta correta quanto ao encaminhamento deste caso ?</w:t>
      </w:r>
    </w:p>
    <w:p>
      <w:pPr>
        <w:pStyle w:val="normal11"/>
        <w:spacing w:lineRule="auto" w:line="240"/>
        <w:jc w:val="both"/>
        <w:rPr>
          <w:u w:val="none"/>
        </w:rPr>
      </w:pPr>
      <w:r>
        <w:rPr>
          <w:b w:val="false"/>
          <w:bCs w:val="false"/>
          <w:sz w:val="22"/>
          <w:szCs w:val="22"/>
          <w:u w:val="none"/>
        </w:rPr>
        <w:t xml:space="preserve">A) Requisitar necropsia médico-legal por se tratar de morte violenta.</w:t>
      </w:r>
    </w:p>
    <w:p>
      <w:pPr>
        <w:pStyle w:val="normal11"/>
        <w:spacing w:lineRule="auto" w:line="240"/>
        <w:jc w:val="both"/>
        <w:rPr>
          <w:u w:val="none"/>
        </w:rPr>
      </w:pPr>
      <w:r>
        <w:rPr>
          <w:b w:val="false"/>
          <w:bCs w:val="false"/>
          <w:sz w:val="22"/>
          <w:szCs w:val="22"/>
          <w:u w:val="none"/>
        </w:rPr>
        <w:t xml:space="preserve">B) O médico assistente deverá preencher a Declaração de óbito por se saber a causa da morte.</w:t>
      </w:r>
    </w:p>
    <w:p>
      <w:pPr>
        <w:pStyle w:val="normal11"/>
        <w:spacing w:lineRule="auto" w:line="240"/>
        <w:jc w:val="both"/>
        <w:rPr>
          <w:u w:val="none"/>
        </w:rPr>
      </w:pPr>
      <w:r>
        <w:rPr>
          <w:b w:val="false"/>
          <w:bCs w:val="false"/>
          <w:sz w:val="22"/>
          <w:szCs w:val="22"/>
          <w:u w:val="none"/>
        </w:rPr>
        <w:t xml:space="preserve">C) Médico encaminhar o corpo para o Serviço de Verificação de Óbito ( SVO ) para complementação do diagnóstico.</w:t>
      </w:r>
    </w:p>
    <w:p>
      <w:pPr>
        <w:pStyle w:val="normal11"/>
        <w:spacing w:lineRule="auto" w:line="240"/>
        <w:jc w:val="both"/>
        <w:rPr>
          <w:u w:val="none"/>
        </w:rPr>
      </w:pPr>
      <w:r>
        <w:rPr>
          <w:b w:val="false"/>
          <w:bCs w:val="false"/>
          <w:sz w:val="22"/>
          <w:szCs w:val="22"/>
          <w:u w:val="none"/>
        </w:rPr>
        <w:t xml:space="preserve">D) A família decide em acordo com o médico assistente se o corpo vai para o IML.</w:t>
      </w:r>
    </w:p>
    <w:p>
      <w:pPr>
        <w:pStyle w:val="normal11"/>
        <w:spacing w:lineRule="auto" w:line="240"/>
        <w:jc w:val="both"/>
        <w:rPr>
          <w:u w:val="none"/>
        </w:rPr>
      </w:pPr>
      <w:r>
        <w:rPr>
          <w:b w:val="false"/>
          <w:bCs w:val="false"/>
          <w:sz w:val="22"/>
          <w:szCs w:val="22"/>
          <w:u w:val="none"/>
        </w:rPr>
        <w:t xml:space="preserve">E) O IML dispensa a necropsia por ter diagnóstico definido pelo médico assistente.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Numa necropsia foram encontradas no pescoço da vítima escoriações irregulares na face lateral direita e um sulco transversal na face anterior e sinais gerais de asfixia. Quais os prováveis mecanismos da morte ?</w:t>
      </w:r>
    </w:p>
    <w:p>
      <w:pPr>
        <w:pStyle w:val="normal11"/>
        <w:spacing w:lineRule="auto" w:line="240"/>
        <w:jc w:val="both"/>
        <w:rPr>
          <w:u w:val="none"/>
        </w:rPr>
      </w:pPr>
      <w:r>
        <w:rPr>
          <w:b w:val="false"/>
          <w:bCs w:val="false"/>
          <w:sz w:val="22"/>
          <w:szCs w:val="22"/>
          <w:u w:val="none"/>
        </w:rPr>
        <w:t xml:space="preserve">A) Asfixia por esganadura e sufocação direta.</w:t>
      </w:r>
    </w:p>
    <w:p>
      <w:pPr>
        <w:pStyle w:val="normal11"/>
        <w:spacing w:lineRule="auto" w:line="240"/>
        <w:jc w:val="both"/>
        <w:rPr>
          <w:u w:val="none"/>
        </w:rPr>
      </w:pPr>
      <w:r>
        <w:rPr>
          <w:b w:val="false"/>
          <w:bCs w:val="false"/>
          <w:sz w:val="22"/>
          <w:szCs w:val="22"/>
          <w:u w:val="none"/>
        </w:rPr>
        <w:t xml:space="preserve">B) Esganadura e simulação de enforcamento.</w:t>
      </w:r>
    </w:p>
    <w:p>
      <w:pPr>
        <w:pStyle w:val="normal11"/>
        <w:spacing w:lineRule="auto" w:line="240"/>
        <w:jc w:val="both"/>
        <w:rPr>
          <w:u w:val="none"/>
        </w:rPr>
      </w:pPr>
      <w:r>
        <w:rPr>
          <w:b w:val="false"/>
          <w:bCs w:val="false"/>
          <w:sz w:val="22"/>
          <w:szCs w:val="22"/>
          <w:u w:val="none"/>
        </w:rPr>
        <w:t xml:space="preserve">C) Estrangulamento associado com esganadura.</w:t>
      </w:r>
    </w:p>
    <w:p>
      <w:pPr>
        <w:pStyle w:val="normal11"/>
        <w:spacing w:lineRule="auto" w:line="240"/>
        <w:jc w:val="both"/>
        <w:rPr>
          <w:u w:val="none"/>
        </w:rPr>
      </w:pPr>
      <w:r>
        <w:rPr>
          <w:b w:val="false"/>
          <w:bCs w:val="false"/>
          <w:sz w:val="22"/>
          <w:szCs w:val="22"/>
          <w:u w:val="none"/>
        </w:rPr>
        <w:t xml:space="preserve">D) Enforcamento incompleto e sufocação indireta.</w:t>
      </w:r>
    </w:p>
    <w:p>
      <w:pPr>
        <w:pStyle w:val="normal11"/>
        <w:spacing w:lineRule="auto" w:line="240"/>
        <w:jc w:val="both"/>
        <w:rPr>
          <w:u w:val="none"/>
        </w:rPr>
      </w:pPr>
      <w:r>
        <w:rPr>
          <w:b w:val="false"/>
          <w:bCs w:val="false"/>
          <w:sz w:val="22"/>
          <w:szCs w:val="22"/>
          <w:u w:val="none"/>
        </w:rPr>
        <w:t xml:space="preserve">E) Esganadura e compressão torácica.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98.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99.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100.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distT="114300" distB="114300" distL="114300" distR="114300" simplePos="0" relativeHeight="4" behindDoc="1" locked="0" layoutInCell="0" allowOverlap="1">
          <wp:simplePos x="0" y="0"/>
          <wp:positionH relativeFrom="column">
            <wp:posOffset>2381250</wp:posOffset>
          </wp:positionH>
          <wp:positionV relativeFrom="paragraph">
            <wp:posOffset>140970</wp:posOffset>
          </wp:positionV>
          <wp:extent cx="1004570" cy="286385"/>
          <wp:effectExtent l="0" t="0" r="0" b="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2</w:t>
    </w:r>
    <w:r>
      <w:rPr>
        <w:color w:val="666666"/>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distT="114300" distB="114300" distL="114300" distR="114300" simplePos="0" relativeHeight="5" behindDoc="1" locked="0" layoutInCell="0" allowOverlap="1">
          <wp:simplePos x="0" y="0"/>
          <wp:positionH relativeFrom="column">
            <wp:posOffset>2353945</wp:posOffset>
          </wp:positionH>
          <wp:positionV relativeFrom="paragraph">
            <wp:posOffset>137795</wp:posOffset>
          </wp:positionV>
          <wp:extent cx="1004570" cy="286385"/>
          <wp:effectExtent l="0" t="0" r="0" b="0"/>
          <wp:wrapTopAndBottom/>
          <wp:docPr id="4"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color w:val="666666"/>
        <w:sz w:val="20"/>
        <w:szCs w:val="20"/>
      </w:rPr>
      <w:instrText xml:space="preserve"> PAGE </w:instrText>
    </w:r>
    <w:r>
      <w:rPr>
        <w:color w:val="666666"/>
        <w:sz w:val="20"/>
        <w:szCs w:val="20"/>
      </w:rPr>
      <w:fldChar w:fldCharType="separate"/>
    </w:r>
    <w:r>
      <w:rPr>
        <w:color w:val="666666"/>
        <w:sz w:val="20"/>
        <w:szCs w:val="20"/>
      </w:rPr>
      <w:t>3</w:t>
    </w:r>
    <w:r>
      <w:rPr>
        <w:color w:val="666666"/>
        <w:sz w:val="20"/>
        <w:szCs w:val="20"/>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3"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1"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distT="114300" distB="114300" distL="114300" distR="114300" simplePos="0" relativeHeight="2" behindDoc="1" locked="0" layoutInCell="0" allowOverlap="1">
          <wp:simplePos x="0" y="0"/>
          <wp:positionH relativeFrom="column">
            <wp:posOffset>2399030</wp:posOffset>
          </wp:positionH>
          <wp:positionV relativeFrom="paragraph">
            <wp:posOffset>-285750</wp:posOffset>
          </wp:positionV>
          <wp:extent cx="929005" cy="13138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TotalTime>
  <Application>LibreOffice/25.8.7.3$Linux_X86_64 LibreOffice_project/580$Build-3</Application>
  <AppVersion>15.0000</AppVersion>
  <Pages>5</Pages>
  <Words>511</Words>
  <Characters>2415</Characters>
  <CharactersWithSpaces>2765</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2026-09-03T10:09:24Z</dcterms:modified>
  <cp:revision>20</cp:revision>
  <dc:subject/>
  <dc:title/>
  <dc:identifier/>
</cp:coreProperties>
</file>

<file path=docProps/custom.xml><?xml version="1.0" encoding="utf-8"?>
<Properties xmlns="http://schemas.openxmlformats.org/officeDocument/2006/custom-properties" xmlns:vt="http://schemas.openxmlformats.org/officeDocument/2006/docPropsVTypes"/>
</file>