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009/2025</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Ao elaborar um relatório, o policial deve descrever os acontecimentos sem inserir preferências, sentimentos ou julgamentos pessoais. Qual princípio da redação oficial está diretamente relacionado a essa exigência?</w:t>
      </w:r>
    </w:p>
    <w:p>
      <w:pPr>
        <w:pStyle w:val="normal11"/>
        <w:spacing w:lineRule="auto" w:line="240"/>
        <w:jc w:val="both"/>
        <w:rPr>
          <w:u w:val="none"/>
        </w:rPr>
      </w:pPr>
      <w:r>
        <w:rPr>
          <w:b w:val="false"/>
          <w:bCs w:val="false"/>
          <w:sz w:val="22"/>
          <w:szCs w:val="22"/>
          <w:u w:val="none"/>
        </w:rPr>
        <w:t xml:space="preserve">A) Publicidade.</w:t>
      </w:r>
    </w:p>
    <w:p>
      <w:pPr>
        <w:pStyle w:val="normal11"/>
        <w:spacing w:lineRule="auto" w:line="240"/>
        <w:jc w:val="both"/>
        <w:rPr>
          <w:u w:val="none"/>
        </w:rPr>
      </w:pPr>
      <w:r>
        <w:rPr>
          <w:b w:val="false"/>
          <w:bCs w:val="false"/>
          <w:sz w:val="22"/>
          <w:szCs w:val="22"/>
          <w:u w:val="none"/>
        </w:rPr>
        <w:t xml:space="preserve">B) Formalidade.</w:t>
      </w:r>
    </w:p>
    <w:p>
      <w:pPr>
        <w:pStyle w:val="normal11"/>
        <w:spacing w:lineRule="auto" w:line="240"/>
        <w:jc w:val="both"/>
        <w:rPr>
          <w:u w:val="none"/>
        </w:rPr>
      </w:pPr>
      <w:r>
        <w:rPr>
          <w:b w:val="false"/>
          <w:bCs w:val="false"/>
          <w:sz w:val="22"/>
          <w:szCs w:val="22"/>
          <w:u w:val="none"/>
        </w:rPr>
        <w:t xml:space="preserve">C) Impessoalidade.</w:t>
      </w:r>
    </w:p>
    <w:p>
      <w:pPr>
        <w:pStyle w:val="normal11"/>
        <w:spacing w:lineRule="auto" w:line="240"/>
        <w:jc w:val="both"/>
        <w:rPr>
          <w:u w:val="none"/>
        </w:rPr>
      </w:pPr>
      <w:r>
        <w:rPr>
          <w:b w:val="false"/>
          <w:bCs w:val="false"/>
          <w:sz w:val="22"/>
          <w:szCs w:val="22"/>
          <w:u w:val="none"/>
        </w:rPr>
        <w:t xml:space="preserve">D) Hierarquia.</w:t>
      </w:r>
    </w:p>
    <w:p>
      <w:pPr>
        <w:pStyle w:val="normal11"/>
        <w:spacing w:lineRule="auto" w:line="240"/>
        <w:jc w:val="both"/>
        <w:rPr>
          <w:u w:val="none"/>
        </w:rPr>
      </w:pPr>
      <w:r>
        <w:rPr>
          <w:b w:val="false"/>
          <w:bCs w:val="false"/>
          <w:sz w:val="22"/>
          <w:szCs w:val="22"/>
          <w:u w:val="none"/>
        </w:rPr>
        <w:t xml:space="preserve">E) Oralidade.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diligência policial acontece no ambiente real, mas seus resultados precisam ser formalizados para integrar o procedimento investigativo. Nesse contexto, qual é a principal função da escrita policial?</w:t>
      </w:r>
    </w:p>
    <w:p>
      <w:pPr>
        <w:pStyle w:val="normal11"/>
        <w:spacing w:lineRule="auto" w:line="240"/>
        <w:jc w:val="both"/>
        <w:rPr>
          <w:u w:val="none"/>
        </w:rPr>
      </w:pPr>
      <w:r>
        <w:rPr>
          <w:b w:val="false"/>
          <w:bCs w:val="false"/>
          <w:sz w:val="22"/>
          <w:szCs w:val="22"/>
          <w:u w:val="none"/>
        </w:rPr>
        <w:t xml:space="preserve">A) Substituir as diligências realizadas pelos policiais.</w:t>
      </w:r>
    </w:p>
    <w:p>
      <w:pPr>
        <w:pStyle w:val="normal11"/>
        <w:spacing w:lineRule="auto" w:line="240"/>
        <w:jc w:val="both"/>
        <w:rPr>
          <w:u w:val="none"/>
        </w:rPr>
      </w:pPr>
      <w:r>
        <w:rPr>
          <w:b w:val="false"/>
          <w:bCs w:val="false"/>
          <w:sz w:val="22"/>
          <w:szCs w:val="22"/>
          <w:u w:val="none"/>
        </w:rPr>
        <w:t xml:space="preserve">B) Registrar livremente as impressões pessoais da equipe.</w:t>
      </w:r>
    </w:p>
    <w:p>
      <w:pPr>
        <w:pStyle w:val="normal11"/>
        <w:spacing w:lineRule="auto" w:line="240"/>
        <w:jc w:val="both"/>
        <w:rPr>
          <w:u w:val="none"/>
        </w:rPr>
      </w:pPr>
      <w:r>
        <w:rPr>
          <w:b w:val="false"/>
          <w:bCs w:val="false"/>
          <w:sz w:val="22"/>
          <w:szCs w:val="22"/>
          <w:u w:val="none"/>
        </w:rPr>
        <w:t xml:space="preserve">C) Introduzir no procedimento, com clareza e fidelidade, os fatos apurados na investigação.</w:t>
      </w:r>
    </w:p>
    <w:p>
      <w:pPr>
        <w:pStyle w:val="normal11"/>
        <w:spacing w:lineRule="auto" w:line="240"/>
        <w:jc w:val="both"/>
        <w:rPr>
          <w:u w:val="none"/>
        </w:rPr>
      </w:pPr>
      <w:r>
        <w:rPr>
          <w:b w:val="false"/>
          <w:bCs w:val="false"/>
          <w:sz w:val="22"/>
          <w:szCs w:val="22"/>
          <w:u w:val="none"/>
        </w:rPr>
        <w:t xml:space="preserve">D) Dispensar a análise posterior da Autoridade Policial.</w:t>
      </w:r>
    </w:p>
    <w:p>
      <w:pPr>
        <w:pStyle w:val="normal11"/>
        <w:spacing w:lineRule="auto" w:line="240"/>
        <w:jc w:val="both"/>
        <w:rPr>
          <w:u w:val="none"/>
        </w:rPr>
      </w:pPr>
      <w:r>
        <w:rPr>
          <w:b w:val="false"/>
          <w:bCs w:val="false"/>
          <w:sz w:val="22"/>
          <w:szCs w:val="22"/>
          <w:u w:val="none"/>
        </w:rPr>
        <w:t xml:space="preserve">E) Transformar automaticamente os elementos informativos em prova judicial.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O raciocínio técnico do relatório deve diferenciar a realidade constatada, o significado atribuído aos elementos encontrados e a síntese decorrente da análise. Qual sequência representa corretamente essa construção?</w:t>
      </w:r>
    </w:p>
    <w:p>
      <w:pPr>
        <w:pStyle w:val="normal11"/>
        <w:spacing w:lineRule="auto" w:line="240"/>
        <w:jc w:val="both"/>
        <w:rPr>
          <w:u w:val="none"/>
        </w:rPr>
      </w:pPr>
      <w:r>
        <w:rPr>
          <w:b w:val="false"/>
          <w:bCs w:val="false"/>
          <w:sz w:val="22"/>
          <w:szCs w:val="22"/>
          <w:u w:val="none"/>
        </w:rPr>
        <w:t xml:space="preserve">A) Interpretação, fato e decisão.</w:t>
      </w:r>
    </w:p>
    <w:p>
      <w:pPr>
        <w:pStyle w:val="normal11"/>
        <w:spacing w:lineRule="auto" w:line="240"/>
        <w:jc w:val="both"/>
        <w:rPr>
          <w:u w:val="none"/>
        </w:rPr>
      </w:pPr>
      <w:r>
        <w:rPr>
          <w:b w:val="false"/>
          <w:bCs w:val="false"/>
          <w:sz w:val="22"/>
          <w:szCs w:val="22"/>
          <w:u w:val="none"/>
        </w:rPr>
        <w:t xml:space="preserve">B) Fato, interpretação e conclusão.</w:t>
      </w:r>
    </w:p>
    <w:p>
      <w:pPr>
        <w:pStyle w:val="normal11"/>
        <w:spacing w:lineRule="auto" w:line="240"/>
        <w:jc w:val="both"/>
        <w:rPr>
          <w:u w:val="none"/>
        </w:rPr>
      </w:pPr>
      <w:r>
        <w:rPr>
          <w:b w:val="false"/>
          <w:bCs w:val="false"/>
          <w:sz w:val="22"/>
          <w:szCs w:val="22"/>
          <w:u w:val="none"/>
        </w:rPr>
        <w:t xml:space="preserve">C) Conclusão, interpretação e fato.</w:t>
      </w:r>
    </w:p>
    <w:p>
      <w:pPr>
        <w:pStyle w:val="normal11"/>
        <w:spacing w:lineRule="auto" w:line="240"/>
        <w:jc w:val="both"/>
        <w:rPr>
          <w:u w:val="none"/>
        </w:rPr>
      </w:pPr>
      <w:r>
        <w:rPr>
          <w:b w:val="false"/>
          <w:bCs w:val="false"/>
          <w:sz w:val="22"/>
          <w:szCs w:val="22"/>
          <w:u w:val="none"/>
        </w:rPr>
        <w:t xml:space="preserve">D) Fato, conclusão e interpretação.</w:t>
      </w:r>
    </w:p>
    <w:p>
      <w:pPr>
        <w:pStyle w:val="normal11"/>
        <w:spacing w:lineRule="auto" w:line="240"/>
        <w:jc w:val="both"/>
        <w:rPr>
          <w:u w:val="none"/>
        </w:rPr>
      </w:pPr>
      <w:r>
        <w:rPr>
          <w:b w:val="false"/>
          <w:bCs w:val="false"/>
          <w:sz w:val="22"/>
          <w:szCs w:val="22"/>
          <w:u w:val="none"/>
        </w:rPr>
        <w:t xml:space="preserve">E) Opinião, fato e conclusão.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21. Com base no material fornecido no curso de formação e conforme abordado em sala de aula, no que concerne ao conceito e às características que definem a Investigação Policial, assinale a alternativa correta:</w:t>
      </w:r>
    </w:p>
    <w:p>
      <w:pPr>
        <w:pStyle w:val="normal11"/>
        <w:spacing w:lineRule="auto" w:line="240"/>
        <w:jc w:val="both"/>
        <w:rPr>
          <w:u w:val="none"/>
        </w:rPr>
      </w:pPr>
      <w:r>
        <w:rPr>
          <w:b w:val="false"/>
          <w:bCs w:val="false"/>
          <w:sz w:val="22"/>
          <w:szCs w:val="22"/>
          <w:u w:val="none"/>
        </w:rPr>
        <w:t xml:space="preserve">A) A investigação policial é caracterizada como uma atividade-meio da Polícia Judiciária, sendo padronizada e idêntica para todos os casos práticos, o que elimina qualquer margem de dinamismo na atuação do investigador.</w:t>
      </w:r>
    </w:p>
    <w:p>
      <w:pPr>
        <w:pStyle w:val="normal11"/>
        <w:spacing w:lineRule="auto" w:line="240"/>
        <w:jc w:val="both"/>
        <w:rPr>
          <w:u w:val="none"/>
        </w:rPr>
      </w:pPr>
      <w:r>
        <w:rPr>
          <w:b w:val="false"/>
          <w:bCs w:val="false"/>
          <w:sz w:val="22"/>
          <w:szCs w:val="22"/>
          <w:u w:val="none"/>
        </w:rPr>
        <w:t xml:space="preserve">B) A dimensão estratégica da investigação policial é representada pela sequência de processos lógico-dedutivos de ordem puramente científica executados pelo investigador, enquanto a característica intelectual se refere à análise de custo-benefício de cada diligência.</w:t>
      </w:r>
    </w:p>
    <w:p>
      <w:pPr>
        <w:pStyle w:val="normal11"/>
        <w:spacing w:lineRule="auto" w:line="240"/>
        <w:jc w:val="both"/>
        <w:rPr>
          <w:u w:val="none"/>
        </w:rPr>
      </w:pPr>
      <w:r>
        <w:rPr>
          <w:b w:val="false"/>
          <w:bCs w:val="false"/>
          <w:sz w:val="22"/>
          <w:szCs w:val="22"/>
          <w:u w:val="none"/>
        </w:rPr>
        <w:t xml:space="preserve">C) A investigação policial é uma atividade que possui natureza prática (ações e reações que decorrem de interações humanas), natureza intelectual (sequência de processos lógico-dedutivos) e natureza estratégica (análise do custo-benefício de cada diligência).</w:t>
      </w:r>
    </w:p>
    <w:p>
      <w:pPr>
        <w:pStyle w:val="normal11"/>
        <w:spacing w:lineRule="auto" w:line="240"/>
        <w:jc w:val="both"/>
        <w:rPr>
          <w:u w:val="none"/>
        </w:rPr>
      </w:pPr>
      <w:r>
        <w:rPr>
          <w:b w:val="false"/>
          <w:bCs w:val="false"/>
          <w:sz w:val="22"/>
          <w:szCs w:val="22"/>
          <w:u w:val="none"/>
        </w:rPr>
        <w:t xml:space="preserve">D) O objetivo imediato e finalístico da investigação de crimes patrimoniais é a prisão do agente, dispensando-se o planejamento prévio e a delimitação do nível de profundidade da investigação.</w:t>
      </w:r>
    </w:p>
    <w:p>
      <w:pPr>
        <w:pStyle w:val="normal11"/>
        <w:spacing w:lineRule="auto" w:line="240"/>
        <w:jc w:val="both"/>
        <w:rPr>
          <w:u w:val="none"/>
        </w:rPr>
      </w:pPr>
      <w:r>
        <w:rPr>
          <w:b w:val="false"/>
          <w:bCs w:val="false"/>
          <w:sz w:val="22"/>
          <w:szCs w:val="22"/>
          <w:u w:val="none"/>
        </w:rPr>
        <w:t xml:space="preserve">E) Por ser uma atividade dinâmica, as investigações policiais de crimes contra o patrimônio devem ser conduzidas sem roteiros básicos ou planejamento estratégico, sob pena de engessamento das diligências de campo.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Com base no material fornecido no curso de formação e conforme abordado em sala de aula, em caso de eventual desconformidade ou violação da Cadeia de Custódia Digital (Art. 158-A do CPP), assinale a alternativa que descreve corretamente o entendimento aplicável aos efeitos práticos da prova no processo penal:</w:t>
      </w:r>
    </w:p>
    <w:p>
      <w:pPr>
        <w:pStyle w:val="normal11"/>
        <w:spacing w:lineRule="auto" w:line="240"/>
        <w:jc w:val="both"/>
        <w:rPr>
          <w:u w:val="none"/>
        </w:rPr>
      </w:pPr>
      <w:r>
        <w:rPr>
          <w:b w:val="false"/>
          <w:bCs w:val="false"/>
          <w:sz w:val="22"/>
          <w:szCs w:val="22"/>
          <w:u w:val="none"/>
        </w:rPr>
        <w:t xml:space="preserve">A) A violação da cadeia de custódia digital gera a nulidade absoluta e automática da prova e de todo o processo criminal, independentemente de demonstração de adulteração.</w:t>
      </w:r>
    </w:p>
    <w:p>
      <w:pPr>
        <w:pStyle w:val="normal11"/>
        <w:spacing w:lineRule="auto" w:line="240"/>
        <w:jc w:val="both"/>
        <w:rPr>
          <w:u w:val="none"/>
        </w:rPr>
      </w:pPr>
      <w:r>
        <w:rPr>
          <w:b w:val="false"/>
          <w:bCs w:val="false"/>
          <w:sz w:val="22"/>
          <w:szCs w:val="22"/>
          <w:u w:val="none"/>
        </w:rPr>
        <w:t xml:space="preserve">B) A desconformidade na cadeia de custódia repercute na confiabilidade da prova, não gerando nulidade automática; sua eficácia deve ser valorada pelo juiz,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O ônus de provar a integridade absoluta da prova digital, após alegação genérica de quebra de custódia, é transferido de forma automática e exclusiva para a equipe de investigadores que realizou a apreensão.</w:t>
      </w:r>
    </w:p>
    <w:p>
      <w:pPr>
        <w:pStyle w:val="normal11"/>
        <w:spacing w:lineRule="auto" w:line="240"/>
        <w:jc w:val="both"/>
        <w:rPr>
          <w:u w:val="none"/>
        </w:rPr>
      </w:pPr>
      <w:r>
        <w:rPr>
          <w:b w:val="false"/>
          <w:bCs w:val="false"/>
          <w:sz w:val="22"/>
          <w:szCs w:val="22"/>
          <w:u w:val="none"/>
        </w:rPr>
        <w:t xml:space="preserve">D) A cadeia de custódia digital aplica-se unicamente a celulares apreendidos diretamente com o suspeito no momento do flagrante, não incidindo sobre aparelhos abandonados no local do crime ou localizados em estabelecimentos prisionais.</w:t>
      </w:r>
    </w:p>
    <w:p>
      <w:pPr>
        <w:pStyle w:val="normal11"/>
        <w:spacing w:lineRule="auto" w:line="240"/>
        <w:jc w:val="both"/>
        <w:rPr>
          <w:u w:val="none"/>
        </w:rPr>
      </w:pPr>
      <w:r>
        <w:rPr>
          <w:b w:val="false"/>
          <w:bCs w:val="false"/>
          <w:sz w:val="22"/>
          <w:szCs w:val="22"/>
          <w:u w:val="none"/>
        </w:rPr>
        <w:t xml:space="preserve">E) A violação da cadeia de custódia digital acarreta a imediata absolvição do investigado por falta de materialidade.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Com base no material fornecido no curso de formação e conforme abordado em sala de aula, no âmbito da investigação de furtos a residências ou comércios, as qualificadoras de "rompimento de obstáculo" e "escalada" possuem conceitos jurídicos com efeitos práticos extremamente relevantes. Sobre a demonstração dessas qualificadoras, assinale a alternativa correta:</w:t>
      </w:r>
    </w:p>
    <w:p>
      <w:pPr>
        <w:pStyle w:val="normal11"/>
        <w:spacing w:lineRule="auto" w:line="240"/>
        <w:jc w:val="both"/>
        <w:rPr>
          <w:u w:val="none"/>
        </w:rPr>
      </w:pPr>
      <w:r>
        <w:rPr>
          <w:b w:val="false"/>
          <w:bCs w:val="false"/>
          <w:sz w:val="22"/>
          <w:szCs w:val="22"/>
          <w:u w:val="none"/>
        </w:rPr>
        <w:t xml:space="preserve">A) A presença dessas qualificadoras deve ser demonstrada exclusivamente por meio do laudo pericial de local de crime, sendo desnecessária ou irrelevante qualquer menção ou detalhamento fático nos relatórios de investigação policial.</w:t>
      </w:r>
    </w:p>
    <w:p>
      <w:pPr>
        <w:pStyle w:val="normal11"/>
        <w:spacing w:lineRule="auto" w:line="240"/>
        <w:jc w:val="both"/>
        <w:rPr>
          <w:u w:val="none"/>
        </w:rPr>
      </w:pPr>
      <w:r>
        <w:rPr>
          <w:b w:val="false"/>
          <w:bCs w:val="false"/>
          <w:sz w:val="22"/>
          <w:szCs w:val="22"/>
          <w:u w:val="none"/>
        </w:rPr>
        <w:t xml:space="preserve">B) O rompimento de obstáculo e a escalada são qualificadoras de natureza puramente formal, cuja caracterização prática exige apenas a declaração verbal da vítima na confecção do Boletim de Ocorrência.</w:t>
      </w:r>
    </w:p>
    <w:p>
      <w:pPr>
        <w:pStyle w:val="normal11"/>
        <w:spacing w:lineRule="auto" w:line="240"/>
        <w:jc w:val="both"/>
        <w:rPr>
          <w:u w:val="none"/>
        </w:rPr>
      </w:pPr>
      <w:r>
        <w:rPr>
          <w:b w:val="false"/>
          <w:bCs w:val="false"/>
          <w:sz w:val="22"/>
          <w:szCs w:val="22"/>
          <w:u w:val="none"/>
        </w:rPr>
        <w:t xml:space="preserve">C) Há a necessidade prática de demonstração fática dessas qualificadoras seja nos relatórios de investigação elaborados pela equipe policial, seja no laudo de local de crime produzido pela polícia científica.</w:t>
      </w:r>
    </w:p>
    <w:p>
      <w:pPr>
        <w:pStyle w:val="normal11"/>
        <w:spacing w:lineRule="auto" w:line="240"/>
        <w:jc w:val="both"/>
        <w:rPr>
          <w:u w:val="none"/>
        </w:rPr>
      </w:pPr>
      <w:r>
        <w:rPr>
          <w:b w:val="false"/>
          <w:bCs w:val="false"/>
          <w:sz w:val="22"/>
          <w:szCs w:val="22"/>
          <w:u w:val="none"/>
        </w:rPr>
        <w:t xml:space="preserve">D) A escalada, por se tratar de conceito puramente subjetivo, dispensa perícia técnica, devendo o investigador demonstrar sua ocorrência apenas por meio de depoimento de testemunhas presenciais.</w:t>
      </w:r>
    </w:p>
    <w:p>
      <w:pPr>
        <w:pStyle w:val="normal11"/>
        <w:spacing w:lineRule="auto" w:line="240"/>
        <w:jc w:val="both"/>
        <w:rPr>
          <w:u w:val="none"/>
        </w:rPr>
      </w:pPr>
      <w:r>
        <w:rPr>
          <w:b w:val="false"/>
          <w:bCs w:val="false"/>
          <w:sz w:val="22"/>
          <w:szCs w:val="22"/>
          <w:u w:val="none"/>
        </w:rPr>
        <w:t xml:space="preserve">E) Caso a equipe de investigação não consiga isolar o local de crime imediatamente após o furto, as qualificadoras de escalada e rompimento de obstáculo são desconsideradas juridicamente, restando apenas a apuração do furto simples.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38.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A Lei nº 13.431, de 4 de abril de 2017 estabelece o sistema de garantia de direitos da criança e do adolescente vítima ou testemunha de violência, alterando inclusive, o Estatuto da Criança e do Adolescente  (Lei nº 8.069, de 13 de julho de 1990 ). Considerando as diretrizes estabelecidas com a "novatio legis", assinale a alternativa incorreta.</w:t>
      </w:r>
    </w:p>
    <w:p>
      <w:pPr>
        <w:pStyle w:val="normal11"/>
        <w:spacing w:lineRule="auto" w:line="240"/>
        <w:jc w:val="both"/>
        <w:rPr>
          <w:u w:val="none"/>
        </w:rPr>
      </w:pPr>
      <w:r>
        <w:rPr>
          <w:b w:val="false"/>
          <w:bCs w:val="false"/>
          <w:sz w:val="22"/>
          <w:szCs w:val="22"/>
          <w:u w:val="none"/>
        </w:rPr>
        <w:t xml:space="preserve">A) O depoimento especial reger-se-á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Em caso de violência sexual, o depoimento especial seguirá o rito cautelar de antecipação de prova.</w:t>
      </w:r>
    </w:p>
    <w:p>
      <w:pPr>
        <w:pStyle w:val="normal11"/>
        <w:spacing w:lineRule="auto" w:line="240"/>
        <w:jc w:val="both"/>
        <w:rPr>
          <w:u w:val="none"/>
        </w:rPr>
      </w:pPr>
      <w:r>
        <w:rPr>
          <w:b w:val="false"/>
          <w:bCs w:val="false"/>
          <w:sz w:val="22"/>
          <w:szCs w:val="22"/>
          <w:u w:val="none"/>
        </w:rPr>
        <w:t xml:space="preserve">C) O depoimento especial sempre será gravado em áudio e vídeo e tramitará em segredo de justiça.</w:t>
      </w:r>
    </w:p>
    <w:p>
      <w:pPr>
        <w:pStyle w:val="normal11"/>
        <w:spacing w:lineRule="auto" w:line="240"/>
        <w:jc w:val="both"/>
        <w:rPr>
          <w:u w:val="none"/>
        </w:rPr>
      </w:pPr>
      <w:r>
        <w:rPr>
          <w:b w:val="false"/>
          <w:bCs w:val="false"/>
          <w:sz w:val="22"/>
          <w:szCs w:val="22"/>
          <w:u w:val="none"/>
        </w:rPr>
        <w:t xml:space="preserve">D) Depoimento especial é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E) Os profissionais especializados esclarecerão a criança ou o adolescente sobre a tomada do depoimento especial, informando-lhe os seus direitos e os procedimentos a serem adotados e planejando sua participação, sendo vedada a leitura da denúncia ou de outras peças processuais.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59.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 .</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Segundo o conteúdo apresentado, a responsabilidade subjetiva caracteriza-se pela necessidade de:</w:t>
      </w:r>
    </w:p>
    <w:p>
      <w:pPr>
        <w:pStyle w:val="normal11"/>
        <w:spacing w:lineRule="auto" w:line="240"/>
        <w:jc w:val="both"/>
        <w:rPr>
          <w:u w:val="none"/>
        </w:rPr>
      </w:pPr>
      <w:r>
        <w:rPr>
          <w:b w:val="false"/>
          <w:bCs w:val="false"/>
          <w:sz w:val="22"/>
          <w:szCs w:val="22"/>
          <w:u w:val="none"/>
        </w:rPr>
        <w:t xml:space="preserve">A) Existência de dano material exclusivamente.</w:t>
      </w:r>
    </w:p>
    <w:p>
      <w:pPr>
        <w:pStyle w:val="normal11"/>
        <w:spacing w:lineRule="auto" w:line="240"/>
        <w:jc w:val="both"/>
        <w:rPr>
          <w:u w:val="none"/>
        </w:rPr>
      </w:pPr>
      <w:r>
        <w:rPr>
          <w:b w:val="false"/>
          <w:bCs w:val="false"/>
          <w:sz w:val="22"/>
          <w:szCs w:val="22"/>
          <w:u w:val="none"/>
        </w:rPr>
        <w:t xml:space="preserve">B) Comprovação de dolo ou culpa do agente.</w:t>
      </w:r>
    </w:p>
    <w:p>
      <w:pPr>
        <w:pStyle w:val="normal11"/>
        <w:spacing w:lineRule="auto" w:line="240"/>
        <w:jc w:val="both"/>
        <w:rPr>
          <w:u w:val="none"/>
        </w:rPr>
      </w:pPr>
      <w:r>
        <w:rPr>
          <w:b w:val="false"/>
          <w:bCs w:val="false"/>
          <w:sz w:val="22"/>
          <w:szCs w:val="22"/>
          <w:u w:val="none"/>
        </w:rPr>
        <w:t xml:space="preserve">C) Existência de decisão judicial anterior.</w:t>
      </w:r>
    </w:p>
    <w:p>
      <w:pPr>
        <w:pStyle w:val="normal11"/>
        <w:spacing w:lineRule="auto" w:line="240"/>
        <w:jc w:val="both"/>
        <w:rPr>
          <w:u w:val="none"/>
        </w:rPr>
      </w:pPr>
      <w:r>
        <w:rPr>
          <w:b w:val="false"/>
          <w:bCs w:val="false"/>
          <w:sz w:val="22"/>
          <w:szCs w:val="22"/>
          <w:u w:val="none"/>
        </w:rPr>
        <w:t xml:space="preserve">D) Comprovação apenas do dano, independentemente da conduta.</w:t>
      </w:r>
    </w:p>
    <w:p>
      <w:pPr>
        <w:pStyle w:val="normal11"/>
        <w:spacing w:lineRule="auto" w:line="240"/>
        <w:jc w:val="both"/>
        <w:rPr>
          <w:u w:val="none"/>
        </w:rPr>
      </w:pPr>
      <w:r>
        <w:rPr>
          <w:b w:val="false"/>
          <w:bCs w:val="false"/>
          <w:sz w:val="22"/>
          <w:szCs w:val="22"/>
          <w:u w:val="none"/>
        </w:rPr>
        <w:t xml:space="preserve">E) Prática de crime pelo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