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23528"/>
          <w:sz w:val="64"/>
          <w:szCs w:val="64"/>
        </w:rPr>
        <w:t xml:space="preserve">AETHERRIDE</w:t>
      </w:r>
    </w:p>
    <w:p>
      <w:pPr>
        <w:pBdr>
          <w:bottom w:val="single" w:color="C2410C" w:sz="24" w:space="8"/>
        </w:pBdr>
        <w:spacing w:after="0" w:before="60"/>
      </w:pPr>
      <w:r>
        <w:rPr>
          <w:rFonts w:ascii="Arial" w:cs="Arial" w:eastAsia="Arial" w:hAnsi="Arial"/>
          <w:sz w:val="12"/>
          <w:szCs w:val="12"/>
        </w:rPr>
        <w:t xml:space="preserve"> </w:t>
      </w:r>
    </w:p>
    <w:p>
      <w:pPr>
        <w:spacing w:after="0" w:before="260"/>
      </w:pPr>
      <w:r>
        <w:rPr>
          <w:rFonts w:ascii="Arial" w:cs="Arial" w:eastAsia="Arial" w:hAnsi="Arial"/>
          <w:color w:val="1F5F45"/>
          <w:sz w:val="30"/>
          <w:szCs w:val="30"/>
        </w:rPr>
        <w:t xml:space="preserve">Entscheidungsvorlage für Stakeholder</w:t>
      </w:r>
    </w:p>
    <w:p>
      <w:pPr>
        <w:spacing w:after="0" w:before="100"/>
      </w:pPr>
      <w:r>
        <w:rPr>
          <w:rFonts w:ascii="Arial" w:cs="Arial" w:eastAsia="Arial" w:hAnsi="Arial"/>
          <w:color w:val="595959"/>
          <w:sz w:val="22"/>
          <w:szCs w:val="22"/>
        </w:rPr>
        <w:t xml:space="preserve">Produktkonzept, MVP-Schnitt, Investitionsbedarf und die Entscheidungen, die jetzt anstehen</w:t>
      </w:r>
    </w:p>
    <w:p>
      <w:pPr>
        <w:spacing w:after="0" w:before="1400"/>
      </w:pPr>
      <w:r>
        <w:rPr>
          <w:rFonts w:ascii="Arial" w:cs="Arial" w:eastAsia="Arial" w:hAnsi="Arial"/>
          <w:color w:val="1A1A1A"/>
          <w:sz w:val="21"/>
          <w:szCs w:val="21"/>
        </w:rPr>
        <w:t xml:space="preserve">Version 1.0  ·  6. August 2026</w:t>
      </w:r>
    </w:p>
    <w:p>
      <w:pPr>
        <w:spacing w:after="0" w:before="40"/>
      </w:pPr>
      <w:r>
        <w:rPr>
          <w:rFonts w:ascii="Arial" w:cs="Arial" w:eastAsia="Arial" w:hAnsi="Arial"/>
          <w:i/>
          <w:iCs/>
          <w:color w:val="595959"/>
          <w:sz w:val="19"/>
          <w:szCs w:val="19"/>
        </w:rPr>
        <w:t xml:space="preserve">Grundlage: AetherRide Produkt-, Architektur- und Design-Spezifikation v1.0</w:t>
      </w:r>
    </w:p>
    <w:p>
      <w:pPr>
        <w:spacing w:after="0" w:before="40"/>
      </w:pPr>
      <w:r>
        <w:rPr>
          <w:rFonts w:ascii="Arial" w:cs="Arial" w:eastAsia="Arial" w:hAnsi="Arial"/>
          <w:i/>
          <w:iCs/>
          <w:color w:val="595959"/>
          <w:sz w:val="19"/>
          <w:szCs w:val="19"/>
        </w:rPr>
        <w:t xml:space="preserve">Vertraulich — nur zur internen Verwendung</w:t>
      </w:r>
    </w:p>
    <w:p>
      <w:r>
        <w:br w:type="page"/>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Auf einen Blick</w:t>
      </w:r>
    </w:p>
    <w:p>
      <w:pPr>
        <w:spacing w:after="200" w:before="0" w:line="280"/>
      </w:pPr>
      <w:r>
        <w:rPr>
          <w:rFonts w:ascii="Arial" w:cs="Arial" w:eastAsia="Arial" w:hAnsi="Arial"/>
          <w:b/>
          <w:bCs/>
          <w:color w:val="1A1A1A"/>
          <w:sz w:val="21"/>
          <w:szCs w:val="21"/>
        </w:rPr>
        <w:t xml:space="preserve">Die These: </w:t>
      </w:r>
      <w:r>
        <w:rPr>
          <w:rFonts w:ascii="Arial" w:cs="Arial" w:eastAsia="Arial" w:hAnsi="Arial"/>
          <w:color w:val="1A1A1A"/>
          <w:sz w:val="21"/>
          <w:szCs w:val="21"/>
        </w:rPr>
        <w:t xml:space="preserve">Eine Tourenapp, die weiß, welches Bike mit welchem Fahrwerk und welchem Setup unterwegs ist, gibt bessere Antworten als eine, die es nicht weiß. Keine bestehende App verbindet diese drei Domänen — Navigation, Bike-Hardware und Fahrdatenanalyse. Genau dort liegt die Lücke.</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2400"/>
        <w:gridCol w:w="6960"/>
      </w:tblGrid>
      <w:tr>
        <w:trPr>
          <w:tblHeader/>
        </w:trPr>
        <w:tc>
          <w:tcPr>
            <w:tcW w:type="dxa" w:w="24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Frage</w:t>
            </w:r>
          </w:p>
        </w:tc>
        <w:tc>
          <w:tcPr>
            <w:tcW w:type="dxa" w:w="69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Antwort</w:t>
            </w:r>
          </w:p>
        </w:tc>
      </w:tr>
      <w:tr>
        <w:tc>
          <w:tcPr>
            <w:tcW w:type="dxa" w:w="24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Was bauen wir?</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Eine Tourenapp für MTB, Gravel, Rennrad, E-Bike und Wandern, die eine vollständige Bike-Garage, eine Kompatibilitätsprüfung für Bauteile und eine sensorbasierte Fahrwerksanalyse mit der Navigation verbindet.</w:t>
            </w:r>
          </w:p>
        </w:tc>
      </w:tr>
      <w:tr>
        <w:tc>
          <w:tcPr>
            <w:tcW w:type="dxa" w:w="24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Für wen?</w:t>
            </w:r>
          </w:p>
        </w:tc>
        <w:tc>
          <w:tcPr>
            <w:tcW w:type="dxa" w:w="69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Ambitionierte All-Mountain- und Enduro-Fahrer, E-Bike-Fahrer, Mehrrad-Besitzer, die ihr Setup ernsthaft optimieren.</w:t>
            </w:r>
          </w:p>
        </w:tc>
      </w:tr>
      <w:tr>
        <w:tc>
          <w:tcPr>
            <w:tcW w:type="dxa" w:w="24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Warum jetzt?</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Bosch hat mit dem Live Data Interface erstmals eine offene Schnittstelle zu E-Bike-Livedaten geschaffen. Die Hardware-Seite ist damit zugänglich, ohne OEM zu sein.</w:t>
            </w:r>
          </w:p>
        </w:tc>
      </w:tr>
      <w:tr>
        <w:tc>
          <w:tcPr>
            <w:tcW w:type="dxa" w:w="24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Was kostet es?</w:t>
            </w:r>
          </w:p>
        </w:tc>
        <w:tc>
          <w:tcPr>
            <w:tcW w:type="dxa" w:w="69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Rund 9 Monate bis v1.0 mit einem Kernteam von 9,5 Vollzeitäquivalenten plus externer Rechts- und Fachberatung.</w:t>
            </w:r>
          </w:p>
        </w:tc>
      </w:tr>
      <w:tr>
        <w:tc>
          <w:tcPr>
            <w:tcW w:type="dxa" w:w="24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Womit verdienen wir?</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Abo (Pro) als Hauptertrag, Affiliate-Provision im Shop als zweiter Strom ab v1.1.</w:t>
            </w:r>
          </w:p>
        </w:tc>
      </w:tr>
      <w:tr>
        <w:tc>
          <w:tcPr>
            <w:tcW w:type="dxa" w:w="24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Was ist das größte Risiko?</w:t>
            </w:r>
          </w:p>
        </w:tc>
        <w:tc>
          <w:tcPr>
            <w:tcW w:type="dxa" w:w="69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Nicht die Technik, sondern die Komponenten-Datenbasis. Ohne gepflegten Katalog ist die Kompatibilitätsprüfung leer — und mit ihr das Kernversprechen.</w:t>
            </w:r>
          </w:p>
        </w:tc>
      </w:tr>
    </w:tbl>
    <w:p>
      <w:pPr>
        <w:pBdr>
          <w:left w:val="single" w:color="C2410C" w:sz="18" w:space="10"/>
        </w:pBdr>
        <w:shd w:fill="EEF3F0" w:color="auto" w:val="clear"/>
        <w:spacing w:after="0" w:before="160"/>
      </w:pPr>
      <w:r>
        <w:rPr>
          <w:rFonts w:ascii="Arial" w:cs="Arial" w:eastAsia="Arial" w:hAnsi="Arial"/>
          <w:b/>
          <w:bCs/>
          <w:color w:val="123528"/>
          <w:sz w:val="21"/>
          <w:szCs w:val="21"/>
        </w:rPr>
        <w:t xml:space="preserve">Fünf Punkte des ursprünglichen Auftrags sind so nicht umsetzbar.</w:t>
      </w:r>
    </w:p>
    <w:p>
      <w:pPr>
        <w:pBdr>
          <w:left w:val="single" w:color="C2410C" w:sz="18" w:space="10"/>
        </w:pBdr>
        <w:shd w:fill="EEF3F0" w:color="auto" w:val="clear"/>
        <w:spacing w:after="200" w:before="40"/>
      </w:pPr>
      <w:r>
        <w:rPr>
          <w:rFonts w:ascii="Arial" w:cs="Arial" w:eastAsia="Arial" w:hAnsi="Arial"/>
          <w:color w:val="1A1A1A"/>
          <w:sz w:val="21"/>
          <w:szCs w:val="21"/>
        </w:rPr>
        <w:t xml:space="preserve">Sie wurden korrigiert und brauchen Ihre Freigabe. Der wichtigste: Eine Steuerung von Bosch- oder Shimano-Motoren ist ohne Herstellervertrag weder technisch möglich noch rechtlich zulässig. Details in Abschnitt 2.</w:t>
      </w:r>
    </w:p>
    <w:p>
      <w:r>
        <w:br w:type="page"/>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1  Das Produkt in einer Kette</w:t>
      </w:r>
    </w:p>
    <w:p>
      <w:pPr>
        <w:spacing w:after="160" w:before="0" w:line="280"/>
      </w:pPr>
      <w:r>
        <w:rPr>
          <w:rFonts w:ascii="Arial" w:cs="Arial" w:eastAsia="Arial" w:hAnsi="Arial"/>
          <w:color w:val="1A1A1A"/>
          <w:sz w:val="21"/>
          <w:szCs w:val="21"/>
        </w:rPr>
        <w:t xml:space="preserve">Der Unterschied zum Wettbewerb ist kein einzelnes Feature, sondern die Verbindung. Die Garage ist die Datenbasis, alle anderen Funktionen lesen aus ihr und schreiben in sie zurück:</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1500"/>
        <w:gridCol w:w="7860"/>
      </w:tblGrid>
      <w:tr>
        <w:trPr>
          <w:tblHeader/>
        </w:trPr>
        <w:tc>
          <w:tcPr>
            <w:tcW w:type="dxa" w:w="15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Schritt</w:t>
            </w:r>
          </w:p>
        </w:tc>
        <w:tc>
          <w:tcPr>
            <w:tcW w:type="dxa" w:w="78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Was passiert</w:t>
            </w:r>
          </w:p>
        </w:tc>
      </w:tr>
      <w:tr>
        <w:tc>
          <w:tcPr>
            <w:tcW w:type="dxa" w:w="15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Garage</w:t>
            </w:r>
          </w:p>
        </w:tc>
        <w:tc>
          <w:tcPr>
            <w:tcW w:type="dxa" w:w="78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Welches Bike, welche Gabel, welcher Dämpfer, welches Setup — alles erfasst und aktuell.</w:t>
            </w:r>
          </w:p>
        </w:tc>
      </w:tr>
      <w:tr>
        <w:tc>
          <w:tcPr>
            <w:tcW w:type="dxa" w:w="15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Route</w:t>
            </w:r>
          </w:p>
        </w:tc>
        <w:tc>
          <w:tcPr>
            <w:tcW w:type="dxa" w:w="78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Routing-Profil und Vorschläge richten sich nach Bike, Fahrstil und bei E-Bikes nach der Restreichweite.</w:t>
            </w:r>
          </w:p>
        </w:tc>
      </w:tr>
      <w:tr>
        <w:tc>
          <w:tcPr>
            <w:tcW w:type="dxa" w:w="15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Ride</w:t>
            </w:r>
          </w:p>
        </w:tc>
        <w:tc>
          <w:tcPr>
            <w:tcW w:type="dxa" w:w="78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Die Sensorik weiß, welches Fahrwerk sie beobachtet, und rechnet mit dessen tatsächlichen Grenzen.</w:t>
            </w:r>
          </w:p>
        </w:tc>
      </w:tr>
      <w:tr>
        <w:tc>
          <w:tcPr>
            <w:tcW w:type="dxa" w:w="15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Post-Ride</w:t>
            </w:r>
          </w:p>
        </w:tc>
        <w:tc>
          <w:tcPr>
            <w:tcW w:type="dxa" w:w="78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Die Empfehlung lautet „Zugstufe zwei Klicks langsamer", nicht „achte auf dein Setup".</w:t>
            </w:r>
          </w:p>
        </w:tc>
      </w:tr>
      <w:tr>
        <w:tc>
          <w:tcPr>
            <w:tcW w:type="dxa" w:w="15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Historie</w:t>
            </w:r>
          </w:p>
        </w:tc>
        <w:tc>
          <w:tcPr>
            <w:tcW w:type="dxa" w:w="78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Ein strukturierter Vergleich belegt, ob die Änderung wirklich besser war — oder ob der Unterschied nur Streuung war.</w:t>
            </w:r>
          </w:p>
        </w:tc>
      </w:tr>
      <w:tr>
        <w:tc>
          <w:tcPr>
            <w:tcW w:type="dxa" w:w="15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Shop</w:t>
            </w:r>
          </w:p>
        </w:tc>
        <w:tc>
          <w:tcPr>
            <w:tcW w:type="dxa" w:w="78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Angezeigt wird nur, was an dieses konkrete Bike nachweislich passt.</w:t>
            </w:r>
          </w:p>
        </w:tc>
      </w:tr>
      <w:tr>
        <w:tc>
          <w:tcPr>
            <w:tcW w:type="dxa" w:w="15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zurück zur Garage</w:t>
            </w:r>
          </w:p>
        </w:tc>
        <w:tc>
          <w:tcPr>
            <w:tcW w:type="dxa" w:w="78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Das neue Teil wird eingetragen, der Kreis schließt sich.</w:t>
            </w:r>
          </w:p>
        </w:tc>
      </w:tr>
    </w:tbl>
    <w:p>
      <w:pPr>
        <w:pStyle w:val="Heading2"/>
        <w:keepNext/>
        <w:keepLines/>
        <w:spacing w:after="100" w:before="280"/>
      </w:pPr>
      <w:r>
        <w:rPr>
          <w:rFonts w:ascii="Arial" w:cs="Arial" w:eastAsia="Arial" w:hAnsi="Arial"/>
          <w:b/>
          <w:bCs/>
          <w:color w:val="1F5F45"/>
          <w:sz w:val="24"/>
          <w:szCs w:val="24"/>
        </w:rPr>
        <w:t xml:space="preserve">Wo die Wettbewerber aufhören</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2400"/>
        <w:gridCol w:w="3300"/>
        <w:gridCol w:w="3660"/>
      </w:tblGrid>
      <w:tr>
        <w:trPr>
          <w:tblHeader/>
        </w:trPr>
        <w:tc>
          <w:tcPr>
            <w:tcW w:type="dxa" w:w="24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Produkt</w:t>
            </w:r>
          </w:p>
        </w:tc>
        <w:tc>
          <w:tcPr>
            <w:tcW w:type="dxa" w:w="33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Stärke</w:t>
            </w:r>
          </w:p>
        </w:tc>
        <w:tc>
          <w:tcPr>
            <w:tcW w:type="dxa" w:w="36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Lücke</w:t>
            </w:r>
          </w:p>
        </w:tc>
      </w:tr>
      <w:tr>
        <w:tc>
          <w:tcPr>
            <w:tcW w:type="dxa" w:w="24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Komoot</w:t>
            </w:r>
          </w:p>
        </w:tc>
        <w:tc>
          <w:tcPr>
            <w:tcW w:type="dxa" w:w="33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Tourenplanung, Community, Offline</w:t>
            </w:r>
          </w:p>
        </w:tc>
        <w:tc>
          <w:tcPr>
            <w:tcW w:type="dxa" w:w="36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Kein Bike-Modell, kein Setup, keine Fahrwerksdaten</w:t>
            </w:r>
          </w:p>
        </w:tc>
      </w:tr>
      <w:tr>
        <w:tc>
          <w:tcPr>
            <w:tcW w:type="dxa" w:w="24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Strava</w:t>
            </w:r>
          </w:p>
        </w:tc>
        <w:tc>
          <w:tcPr>
            <w:tcW w:type="dxa" w:w="33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Social, Segmente, Training</w:t>
            </w:r>
          </w:p>
        </w:tc>
        <w:tc>
          <w:tcPr>
            <w:tcW w:type="dxa" w:w="36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Bike ist nur ein Kilometerzähler</w:t>
            </w:r>
          </w:p>
        </w:tc>
      </w:tr>
      <w:tr>
        <w:tc>
          <w:tcPr>
            <w:tcW w:type="dxa" w:w="24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Trailforks</w:t>
            </w:r>
          </w:p>
        </w:tc>
        <w:tc>
          <w:tcPr>
            <w:tcW w:type="dxa" w:w="33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Trail-Datenbank und -Status</w:t>
            </w:r>
          </w:p>
        </w:tc>
        <w:tc>
          <w:tcPr>
            <w:tcW w:type="dxa" w:w="36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Schwache Alltagsnavigation, kein Setup</w:t>
            </w:r>
          </w:p>
        </w:tc>
      </w:tr>
      <w:tr>
        <w:tc>
          <w:tcPr>
            <w:tcW w:type="dxa" w:w="24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Bosch eBike Flow</w:t>
            </w:r>
          </w:p>
        </w:tc>
        <w:tc>
          <w:tcPr>
            <w:tcW w:type="dxa" w:w="33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Tiefe Motorintegration</w:t>
            </w:r>
          </w:p>
        </w:tc>
        <w:tc>
          <w:tcPr>
            <w:tcW w:type="dxa" w:w="36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Nur Bosch, nur E-Bike, kein Fahrwerk</w:t>
            </w:r>
          </w:p>
        </w:tc>
      </w:tr>
      <w:tr>
        <w:tc>
          <w:tcPr>
            <w:tcW w:type="dxa" w:w="24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Setup-Tools (z. B. ShockWiz)</w:t>
            </w:r>
          </w:p>
        </w:tc>
        <w:tc>
          <w:tcPr>
            <w:tcW w:type="dxa" w:w="33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Echte Fahrwerksmessung</w:t>
            </w:r>
          </w:p>
        </w:tc>
        <w:tc>
          <w:tcPr>
            <w:tcW w:type="dxa" w:w="36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Zusatzhardware nötig, keine Navigation, keine Garage</w:t>
            </w:r>
          </w:p>
        </w:tc>
      </w:tr>
    </w:tbl>
    <w:p>
      <w:pPr>
        <w:spacing w:after="120" w:before="120" w:line="280"/>
      </w:pPr>
      <w:r>
        <w:rPr>
          <w:rFonts w:ascii="Arial" w:cs="Arial" w:eastAsia="Arial" w:hAnsi="Arial"/>
          <w:i/>
          <w:iCs/>
          <w:color w:val="595959"/>
          <w:sz w:val="21"/>
          <w:szCs w:val="21"/>
        </w:rPr>
        <w:t xml:space="preserve">Wer das Fahrwerk misst, kennt das Bike nicht. Wer das Bike kennt, misst nichts. Wer navigiert, tut beides nicht.</w:t>
      </w:r>
    </w:p>
    <w:p>
      <w:pPr>
        <w:pStyle w:val="Heading2"/>
        <w:keepNext/>
        <w:keepLines/>
        <w:spacing w:after="100" w:before="280"/>
      </w:pPr>
      <w:r>
        <w:rPr>
          <w:rFonts w:ascii="Arial" w:cs="Arial" w:eastAsia="Arial" w:hAnsi="Arial"/>
          <w:b/>
          <w:bCs/>
          <w:color w:val="1F5F45"/>
          <w:sz w:val="24"/>
          <w:szCs w:val="24"/>
        </w:rPr>
        <w:t xml:space="preserve">Was wir versprechen — und was nicht</w:t>
      </w:r>
    </w:p>
    <w:p>
      <w:pPr>
        <w:spacing w:after="120" w:before="0" w:line="280"/>
      </w:pPr>
      <w:r>
        <w:rPr>
          <w:rFonts w:ascii="Arial" w:cs="Arial" w:eastAsia="Arial" w:hAnsi="Arial"/>
          <w:color w:val="1A1A1A"/>
          <w:sz w:val="21"/>
          <w:szCs w:val="21"/>
        </w:rPr>
        <w:t xml:space="preserve">Die Fahrwerksmessung per Smartphone ist einer fest verbauten Federwegssensorik unterlegen. Ihr Vorteil ist nicht Präzision, sondern dass sie nichts kostet und nichts montiert werden muss. Das Versprechen lautet deshalb „zeigt dir die Richtung", nicht „misst auf den Millimeter". Diese Formulierung ist verbindlich für Marketing und Store-Listing.</w:t>
      </w:r>
    </w:p>
    <w:p>
      <w:pPr>
        <w:pBdr>
          <w:left w:val="single" w:color="C2410C" w:sz="18" w:space="10"/>
        </w:pBdr>
        <w:shd w:fill="EEF3F0" w:color="auto" w:val="clear"/>
        <w:spacing w:after="0" w:before="160"/>
      </w:pPr>
      <w:r>
        <w:rPr>
          <w:rFonts w:ascii="Arial" w:cs="Arial" w:eastAsia="Arial" w:hAnsi="Arial"/>
          <w:b/>
          <w:bCs/>
          <w:color w:val="123528"/>
          <w:sz w:val="21"/>
          <w:szCs w:val="21"/>
        </w:rPr>
        <w:t xml:space="preserve">Freigegebene Positionierungsaussage</w:t>
      </w:r>
    </w:p>
    <w:p>
      <w:pPr>
        <w:pBdr>
          <w:left w:val="single" w:color="C2410C" w:sz="18" w:space="10"/>
        </w:pBdr>
        <w:shd w:fill="EEF3F0" w:color="auto" w:val="clear"/>
        <w:spacing w:after="200" w:before="40"/>
      </w:pPr>
      <w:r>
        <w:rPr>
          <w:rFonts w:ascii="Arial" w:cs="Arial" w:eastAsia="Arial" w:hAnsi="Arial"/>
          <w:color w:val="1A1A1A"/>
          <w:sz w:val="21"/>
          <w:szCs w:val="21"/>
        </w:rPr>
        <w:t xml:space="preserve">AetherRide ist die Tourenapp, die dein Bike kennt. Navigation, Fahrwerks-Setup und Komponenten in einem — weil jede Empfehlung nur so gut ist wie das Wissen darüber, was du fährst.</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2  Fünf Korrekturen, die Ihre Freigabe brauchen</w:t>
      </w:r>
    </w:p>
    <w:p>
      <w:pPr>
        <w:spacing w:after="200" w:before="0" w:line="280"/>
      </w:pPr>
      <w:r>
        <w:rPr>
          <w:rFonts w:ascii="Arial" w:cs="Arial" w:eastAsia="Arial" w:hAnsi="Arial"/>
          <w:color w:val="1A1A1A"/>
          <w:sz w:val="21"/>
          <w:szCs w:val="21"/>
        </w:rPr>
        <w:t xml:space="preserve">Der ursprüngliche Auftrag enthält fünf Punkte, die in ihrer wörtlichen Fassung technisch, rechtlich oder physikalisch nicht lieferbar sind. Sie sind korrigiert; die korrigierte Fassung liegt der gesamten Planung zugrunde.</w:t>
      </w:r>
    </w:p>
    <w:p>
      <w:pPr>
        <w:pStyle w:val="Heading2"/>
        <w:keepNext/>
        <w:keepLines/>
        <w:spacing w:after="100" w:before="280"/>
      </w:pPr>
      <w:r>
        <w:rPr>
          <w:rFonts w:ascii="Arial" w:cs="Arial" w:eastAsia="Arial" w:hAnsi="Arial"/>
          <w:b/>
          <w:bCs/>
          <w:color w:val="1F5F45"/>
          <w:sz w:val="24"/>
          <w:szCs w:val="24"/>
        </w:rPr>
        <w:t xml:space="preserve">2.1  Bosch und Shimano sind nicht gleichwertig zugänglich</w:t>
      </w:r>
    </w:p>
    <w:p>
      <w:pPr>
        <w:spacing w:after="140" w:before="0" w:line="280"/>
      </w:pPr>
      <w:r>
        <w:rPr>
          <w:rFonts w:ascii="Arial" w:cs="Arial" w:eastAsia="Arial" w:hAnsi="Arial"/>
          <w:color w:val="1A1A1A"/>
          <w:sz w:val="21"/>
          <w:szCs w:val="21"/>
        </w:rPr>
        <w:t xml:space="preserve">Diese Erkenntnis ist recherchiert, nicht angenommen — sie verändert den E-Bike-Teil des Produkts erheblich.</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2200"/>
        <w:gridCol w:w="3580"/>
        <w:gridCol w:w="3580"/>
      </w:tblGrid>
      <w:tr>
        <w:trPr>
          <w:tblHeader/>
        </w:trPr>
        <w:tc>
          <w:tcPr>
            <w:tcW w:type="dxa" w:w="22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
            </w:r>
          </w:p>
        </w:tc>
        <w:tc>
          <w:tcPr>
            <w:tcW w:type="dxa" w:w="358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Bosch</w:t>
            </w:r>
          </w:p>
        </w:tc>
        <w:tc>
          <w:tcPr>
            <w:tcW w:type="dxa" w:w="358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Shimano</w:t>
            </w:r>
          </w:p>
        </w:tc>
      </w:tr>
      <w:tr>
        <w:tc>
          <w:tcPr>
            <w:tcW w:type="dxa" w:w="22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Lage</w:t>
            </w:r>
          </w:p>
        </w:tc>
        <w:tc>
          <w:tcPr>
            <w:tcW w:type="dxa" w:w="358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Offene, dokumentierte BLE-Schnittstelle („Live Data Interface") für das smart system, laut Hersteller kostenfrei für Dritt-Apps. Erste Referenzintegration: Garmin.</w:t>
            </w:r>
          </w:p>
        </w:tc>
        <w:tc>
          <w:tcPr>
            <w:tcW w:type="dxa" w:w="358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Keine öffentliche, smartphone-taugliche Schnittstelle. Zugang zum Kommunikationsprofil nur über ein vertragsbasiertes Lizenzprogramm.</w:t>
            </w:r>
          </w:p>
        </w:tc>
      </w:tr>
      <w:tr>
        <w:tc>
          <w:tcPr>
            <w:tcW w:type="dxa" w:w="22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Livedaten lesen</w:t>
            </w:r>
          </w:p>
        </w:tc>
        <w:tc>
          <w:tcPr>
            <w:tcW w:type="dxa" w:w="358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 — Geschwindigkeit, Ladestand, Fahrerleistung, Trittfrequenz, Distanz, Lichtstatus, Lock-Status</w:t>
            </w:r>
          </w:p>
        </w:tc>
        <w:tc>
          <w:tcPr>
            <w:tcW w:type="dxa" w:w="358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 ohne Vertrag</w:t>
            </w:r>
          </w:p>
        </w:tc>
      </w:tr>
      <w:tr>
        <w:tc>
          <w:tcPr>
            <w:tcW w:type="dxa" w:w="22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Motor steuern</w:t>
            </w:r>
          </w:p>
        </w:tc>
        <w:tc>
          <w:tcPr>
            <w:tcW w:type="dxa" w:w="358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358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r>
      <w:tr>
        <w:tc>
          <w:tcPr>
            <w:tcW w:type="dxa" w:w="22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Im MVP</w:t>
            </w:r>
          </w:p>
        </w:tc>
        <w:tc>
          <w:tcPr>
            <w:tcW w:type="dxa" w:w="358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 lesend</w:t>
            </w:r>
          </w:p>
        </w:tc>
        <w:tc>
          <w:tcPr>
            <w:tcW w:type="dxa" w:w="358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Manuelle Erfassung plus Standard-Bluetooth-Sensorik</w:t>
            </w:r>
          </w:p>
        </w:tc>
      </w:tr>
      <w:tr>
        <w:tc>
          <w:tcPr>
            <w:tcW w:type="dxa" w:w="22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Später</w:t>
            </w:r>
          </w:p>
        </w:tc>
        <w:tc>
          <w:tcPr>
            <w:tcW w:type="dxa" w:w="358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Cloud-Schnittstelle prüfen</w:t>
            </w:r>
          </w:p>
        </w:tc>
        <w:tc>
          <w:tcPr>
            <w:tcW w:type="dxa" w:w="358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Nur nach Vertrag (Gate G-3)</w:t>
            </w:r>
          </w:p>
        </w:tc>
      </w:tr>
    </w:tbl>
    <w:p>
      <w:pPr>
        <w:spacing w:after="200" w:before="140" w:line="280"/>
      </w:pPr>
      <w:r>
        <w:rPr>
          <w:rFonts w:ascii="Arial" w:cs="Arial" w:eastAsia="Arial" w:hAnsi="Arial"/>
          <w:b/>
          <w:bCs/>
          <w:color w:val="1A1A1A"/>
          <w:sz w:val="21"/>
          <w:szCs w:val="21"/>
        </w:rPr>
        <w:t xml:space="preserve">Konsequenz: </w:t>
      </w:r>
      <w:r>
        <w:rPr>
          <w:rFonts w:ascii="Arial" w:cs="Arial" w:eastAsia="Arial" w:hAnsi="Arial"/>
          <w:color w:val="1A1A1A"/>
          <w:sz w:val="21"/>
          <w:szCs w:val="21"/>
        </w:rPr>
        <w:t xml:space="preserve">Die Funktionen „Assist-Modi steuern" und „Motorprofile schreiben" entfallen ersatzlos, solange kein Herstellervertrag vorliegt. Reverse Engineering ist keine Option — es verstößt gegen Nutzungsbedingungen, berührt die Produktsicherheitsvorschriften für Pedelecs und gefährdet jede spätere Partnerschaft. Die Schnittstelle in unserer Architektur besitzt bewusst gar keine Schreiboperation.</w:t>
      </w:r>
    </w:p>
    <w:p>
      <w:pPr>
        <w:pStyle w:val="Heading2"/>
        <w:keepNext/>
        <w:keepLines/>
        <w:spacing w:after="100" w:before="280"/>
      </w:pPr>
      <w:r>
        <w:rPr>
          <w:rFonts w:ascii="Arial" w:cs="Arial" w:eastAsia="Arial" w:hAnsi="Arial"/>
          <w:b/>
          <w:bCs/>
          <w:color w:val="1F5F45"/>
          <w:sz w:val="24"/>
          <w:szCs w:val="24"/>
        </w:rPr>
        <w:t xml:space="preserve">2.2  Federwegsnutzung wird ein Index, keine Millimeterangabe</w:t>
      </w:r>
    </w:p>
    <w:p>
      <w:pPr>
        <w:spacing w:after="200" w:before="0" w:line="280"/>
      </w:pPr>
      <w:r>
        <w:rPr>
          <w:rFonts w:ascii="Arial" w:cs="Arial" w:eastAsia="Arial" w:hAnsi="Arial"/>
          <w:color w:val="1A1A1A"/>
          <w:sz w:val="21"/>
          <w:szCs w:val="21"/>
        </w:rPr>
        <w:t xml:space="preserve">Ein Smartphone am Lenker misst die Bewegung der gefederten Masse, nicht den Hub der Gabel. Eine Millimeterangabe wäre eine Erfindung. Stattdessen liefert die App einen relativen Index, der auf die Historie desselben Bikes normiert ist, plus einen eigenständigen Detektor für Durchschlagsverdacht. Beides geht erst nach bestandener Feldvalidierung live (Gate G-2).</w:t>
      </w:r>
    </w:p>
    <w:p>
      <w:pPr>
        <w:pStyle w:val="Heading2"/>
        <w:keepNext/>
        <w:keepLines/>
        <w:spacing w:after="100" w:before="280"/>
      </w:pPr>
      <w:r>
        <w:rPr>
          <w:rFonts w:ascii="Arial" w:cs="Arial" w:eastAsia="Arial" w:hAnsi="Arial"/>
          <w:b/>
          <w:bCs/>
          <w:color w:val="1F5F45"/>
          <w:sz w:val="24"/>
          <w:szCs w:val="24"/>
        </w:rPr>
        <w:t xml:space="preserve">2.3  Sunlight-Modus ist ein helles Thema</w:t>
      </w:r>
    </w:p>
    <w:p>
      <w:pPr>
        <w:spacing w:after="200" w:before="0" w:line="280"/>
      </w:pPr>
      <w:r>
        <w:rPr>
          <w:rFonts w:ascii="Arial" w:cs="Arial" w:eastAsia="Arial" w:hAnsi="Arial"/>
          <w:color w:val="1A1A1A"/>
          <w:sz w:val="21"/>
          <w:szCs w:val="21"/>
        </w:rPr>
        <w:t xml:space="preserve">Dunkle Oberflächen sind bei praller Sonne schlechter lesbar. Der Orange-Akzent erreicht auf Weiß nur 2,8:1 Kontrast und ist dort unzulässig. Dark bleibt Standard für die ganze App; für den Ride-Screen gibt es ein separates helles Hochkontrast-Thema mit angepasstem Akzentton, das sich bei starkem Umgebungslicht selbst aktiviert.</w:t>
      </w:r>
    </w:p>
    <w:p>
      <w:pPr>
        <w:pStyle w:val="Heading2"/>
        <w:keepNext/>
        <w:keepLines/>
        <w:spacing w:after="100" w:before="280"/>
      </w:pPr>
      <w:r>
        <w:rPr>
          <w:rFonts w:ascii="Arial" w:cs="Arial" w:eastAsia="Arial" w:hAnsi="Arial"/>
          <w:b/>
          <w:bCs/>
          <w:color w:val="1F5F45"/>
          <w:sz w:val="24"/>
          <w:szCs w:val="24"/>
        </w:rPr>
        <w:t xml:space="preserve">2.4  Der Shop startet als Affiliate-Modell</w:t>
      </w:r>
    </w:p>
    <w:p>
      <w:pPr>
        <w:spacing w:after="200" w:before="0" w:line="280"/>
      </w:pPr>
      <w:r>
        <w:rPr>
          <w:rFonts w:ascii="Arial" w:cs="Arial" w:eastAsia="Arial" w:hAnsi="Arial"/>
          <w:color w:val="1A1A1A"/>
          <w:sz w:val="21"/>
          <w:szCs w:val="21"/>
        </w:rPr>
        <w:t xml:space="preserve">Eigenes Lager, Retourenlogistik, Gewährleistung und Produkthaftung sind ein zweites Unternehmen, kein App-Feature. Hinzu kommt: Apple untersagt die Abwicklung physischer Waren über In-App-Käufe. Der Shop startet deshalb als kuratierter Katalog mit Kompatibilitätsprüfung und Kauf beim Partnerhändler. Ein eigener Marktplatz mit Versand ist Phase 3 und nur bei belegter Nachfrage.</w:t>
      </w:r>
    </w:p>
    <w:p>
      <w:pPr>
        <w:pStyle w:val="Heading2"/>
        <w:keepNext/>
        <w:keepLines/>
        <w:spacing w:after="100" w:before="280"/>
      </w:pPr>
      <w:r>
        <w:rPr>
          <w:rFonts w:ascii="Arial" w:cs="Arial" w:eastAsia="Arial" w:hAnsi="Arial"/>
          <w:b/>
          <w:bCs/>
          <w:color w:val="1F5F45"/>
          <w:sz w:val="24"/>
          <w:szCs w:val="24"/>
        </w:rPr>
        <w:t xml:space="preserve">2.5  Der Superlativ-Claim bleibt intern</w:t>
      </w:r>
    </w:p>
    <w:p>
      <w:pPr>
        <w:spacing w:after="200" w:before="0" w:line="280"/>
      </w:pPr>
      <w:r>
        <w:rPr>
          <w:rFonts w:ascii="Arial" w:cs="Arial" w:eastAsia="Arial" w:hAnsi="Arial"/>
          <w:color w:val="1A1A1A"/>
          <w:sz w:val="21"/>
          <w:szCs w:val="21"/>
        </w:rPr>
        <w:t xml:space="preserve">„Die erste wirklich intelligente App" ist als Werbeaussage nach deutschem Wettbewerbsrecht angreifbar, solange sie nicht belegbar ist. Der Satz darf in Store-Listing, Website und App nicht erscheinen. Die freigegebene Alternative steht in Abschnitt 1.</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3  Geschäftsmodell und Erfolgsmessung</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1700"/>
        <w:gridCol w:w="5060"/>
        <w:gridCol w:w="2600"/>
      </w:tblGrid>
      <w:tr>
        <w:trPr>
          <w:tblHeader/>
        </w:trPr>
        <w:tc>
          <w:tcPr>
            <w:tcW w:type="dxa" w:w="17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Stufe</w:t>
            </w:r>
          </w:p>
        </w:tc>
        <w:tc>
          <w:tcPr>
            <w:tcW w:type="dxa" w:w="50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Umfang</w:t>
            </w:r>
          </w:p>
        </w:tc>
        <w:tc>
          <w:tcPr>
            <w:tcW w:type="dxa" w:w="26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Preis (Vorschlag DACH)</w:t>
            </w:r>
          </w:p>
        </w:tc>
      </w:tr>
      <w:tr>
        <w:tc>
          <w:tcPr>
            <w:tcW w:type="dxa" w:w="1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Free</w:t>
            </w:r>
          </w:p>
        </w:tc>
        <w:tc>
          <w:tcPr>
            <w:tcW w:type="dxa" w:w="5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Ein Bike, Ride-Tracking, Basis-Auswertung, Routenplanung online, Wartungslog</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0 €</w:t>
            </w:r>
          </w:p>
        </w:tc>
      </w:tr>
      <w:tr>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Pro</w:t>
            </w:r>
          </w:p>
        </w:tc>
        <w:tc>
          <w:tcPr>
            <w:tcW w:type="dxa" w:w="5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Unbegrenzte Bikes, Fahrwerksanalyse, Offline-Karten, strukturierter Setup-Vergleich, Empfehlungen, Reichweitenprognose</w:t>
            </w:r>
          </w:p>
        </w:tc>
        <w:tc>
          <w:tcPr>
            <w:tcW w:type="dxa" w:w="26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6,99 € / Monat</w:t>
            </w:r>
          </w:p>
          <w:p>
            <w:pPr>
              <w:spacing w:after="0" w:line="260"/>
            </w:pPr>
            <w:r>
              <w:rPr>
                <w:rFonts w:ascii="Arial" w:cs="Arial" w:eastAsia="Arial" w:hAnsi="Arial"/>
                <w:b w:val="false"/>
                <w:bCs w:val="false"/>
                <w:color w:val="1A1A1A"/>
                <w:sz w:val="19"/>
                <w:szCs w:val="19"/>
              </w:rPr>
              <w:t xml:space="preserve">59,99 € / Jahr</w:t>
            </w:r>
          </w:p>
        </w:tc>
      </w:tr>
      <w:tr>
        <w:tc>
          <w:tcPr>
            <w:tcW w:type="dxa" w:w="1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Shop</w:t>
            </w:r>
          </w:p>
        </w:tc>
        <w:tc>
          <w:tcPr>
            <w:tcW w:type="dxa" w:w="5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Affiliate-Provision, später Marktplatz-Anteil</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5–12 % bzw. 8–15 %</w:t>
            </w:r>
          </w:p>
        </w:tc>
      </w:tr>
    </w:tbl>
    <w:p>
      <w:pPr>
        <w:spacing w:after="200" w:before="140" w:line="280"/>
      </w:pPr>
      <w:r>
        <w:rPr>
          <w:rFonts w:ascii="Arial" w:cs="Arial" w:eastAsia="Arial" w:hAnsi="Arial"/>
          <w:color w:val="1A1A1A"/>
          <w:sz w:val="21"/>
          <w:szCs w:val="21"/>
        </w:rPr>
        <w:t xml:space="preserve">Die Paywall verläuft entlang der Grenzkosten: Kartenkacheln, Sprachmodell-Aufrufe und Sensordatenspeicher kosten laufend Geld. Das kostenlose Angebot muss trotzdem für sich allein nützlich bleiben, sonst fehlt später die Datenbasis für Heatmaps und Segmenterkennung.</w:t>
      </w:r>
    </w:p>
    <w:p>
      <w:pPr>
        <w:pStyle w:val="Heading2"/>
        <w:keepNext/>
        <w:keepLines/>
        <w:spacing w:after="100" w:before="280"/>
      </w:pPr>
      <w:r>
        <w:rPr>
          <w:rFonts w:ascii="Arial" w:cs="Arial" w:eastAsia="Arial" w:hAnsi="Arial"/>
          <w:b/>
          <w:bCs/>
          <w:color w:val="1F5F45"/>
          <w:sz w:val="24"/>
          <w:szCs w:val="24"/>
        </w:rPr>
        <w:t xml:space="preserve">Nordstern und Kennzahlen</w:t>
      </w:r>
    </w:p>
    <w:p>
      <w:pPr>
        <w:pBdr>
          <w:left w:val="single" w:color="C2410C" w:sz="18" w:space="10"/>
        </w:pBdr>
        <w:shd w:fill="EEF3F0" w:color="auto" w:val="clear"/>
        <w:spacing w:after="0" w:before="160"/>
      </w:pPr>
      <w:r>
        <w:rPr>
          <w:rFonts w:ascii="Arial" w:cs="Arial" w:eastAsia="Arial" w:hAnsi="Arial"/>
          <w:b/>
          <w:bCs/>
          <w:color w:val="123528"/>
          <w:sz w:val="21"/>
          <w:szCs w:val="21"/>
        </w:rPr>
        <w:t xml:space="preserve">Nordstern-Metrik</w:t>
      </w:r>
    </w:p>
    <w:p>
      <w:pPr>
        <w:pBdr>
          <w:left w:val="single" w:color="C2410C" w:sz="18" w:space="10"/>
        </w:pBdr>
        <w:shd w:fill="EEF3F0" w:color="auto" w:val="clear"/>
        <w:spacing w:after="200" w:before="40"/>
      </w:pPr>
      <w:r>
        <w:rPr>
          <w:rFonts w:ascii="Arial" w:cs="Arial" w:eastAsia="Arial" w:hAnsi="Arial"/>
          <w:color w:val="1A1A1A"/>
          <w:sz w:val="21"/>
          <w:szCs w:val="21"/>
        </w:rPr>
        <w:t xml:space="preserve">Anzahl Nutzer, die pro Monat mindestens eine Setup-Änderung auf Basis einer App-Empfehlung vornehmen und protokollieren. Diese eine Zahl ist der einzige Beleg dafür, dass die Produktthese trägt. Fällt sie flach aus, ist das Konzept widerlegt — unabhängig davon, wie gut die Navigation läuft.</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5960"/>
        <w:gridCol w:w="3400"/>
      </w:tblGrid>
      <w:tr>
        <w:trPr>
          <w:tblHeader/>
        </w:trPr>
        <w:tc>
          <w:tcPr>
            <w:tcW w:type="dxa" w:w="59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Kennzahl</w:t>
            </w:r>
          </w:p>
        </w:tc>
        <w:tc>
          <w:tcPr>
            <w:tcW w:type="dxa" w:w="34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Ziel 12 Monate nach Launch</w:t>
            </w:r>
          </w:p>
        </w:tc>
      </w:tr>
      <w:tr>
        <w:tc>
          <w:tcPr>
            <w:tcW w:type="dxa" w:w="5960"/>
            <w:tcMar>
              <w:top w:type="dxa" w:w="80"/>
              <w:left w:type="dxa" w:w="110"/>
              <w:bottom w:type="dxa" w:w="80"/>
              <w:right w:type="dxa" w:w="110"/>
            </w:tcMar>
          </w:tcPr>
          <w:p>
            <w:pPr>
              <w:spacing w:after="0" w:line="260"/>
            </w:pPr>
            <w:r>
              <w:rPr>
                <w:rFonts w:ascii="Arial" w:cs="Arial" w:eastAsia="Arial" w:hAnsi="Arial"/>
                <w:color w:val="1A1A1A"/>
                <w:sz w:val="19"/>
                <w:szCs w:val="19"/>
              </w:rPr>
              <w:t xml:space="preserve">Retention nach 30 Tagen</w:t>
            </w:r>
          </w:p>
        </w:tc>
        <w:tc>
          <w:tcPr>
            <w:tcW w:type="dxa" w:w="3400"/>
            <w:tcMar>
              <w:top w:type="dxa" w:w="80"/>
              <w:left w:type="dxa" w:w="110"/>
              <w:bottom w:type="dxa" w:w="80"/>
              <w:right w:type="dxa" w:w="110"/>
            </w:tcMar>
          </w:tcPr>
          <w:p>
            <w:pPr>
              <w:spacing w:after="0" w:line="260"/>
            </w:pPr>
            <w:r>
              <w:rPr>
                <w:rFonts w:ascii="Arial" w:cs="Arial" w:eastAsia="Arial" w:hAnsi="Arial"/>
                <w:color w:val="1A1A1A"/>
                <w:sz w:val="19"/>
                <w:szCs w:val="19"/>
              </w:rPr>
              <w:t xml:space="preserve">mindestens 28 %</w:t>
            </w:r>
          </w:p>
        </w:tc>
      </w:tr>
      <w:tr>
        <w:tc>
          <w:tcPr>
            <w:tcW w:type="dxa" w:w="5960"/>
            <w:shd w:fill="F7F9F8" w:color="auto" w:val="clear"/>
            <w:tcMar>
              <w:top w:type="dxa" w:w="80"/>
              <w:left w:type="dxa" w:w="110"/>
              <w:bottom w:type="dxa" w:w="80"/>
              <w:right w:type="dxa" w:w="110"/>
            </w:tcMar>
          </w:tcPr>
          <w:p>
            <w:pPr>
              <w:spacing w:after="0" w:line="260"/>
            </w:pPr>
            <w:r>
              <w:rPr>
                <w:rFonts w:ascii="Arial" w:cs="Arial" w:eastAsia="Arial" w:hAnsi="Arial"/>
                <w:color w:val="1A1A1A"/>
                <w:sz w:val="19"/>
                <w:szCs w:val="19"/>
              </w:rPr>
              <w:t xml:space="preserve">Nutzer mit mindestens einem vollständig erfassten Bike</w:t>
            </w:r>
          </w:p>
        </w:tc>
        <w:tc>
          <w:tcPr>
            <w:tcW w:type="dxa" w:w="3400"/>
            <w:shd w:fill="F7F9F8" w:color="auto" w:val="clear"/>
            <w:tcMar>
              <w:top w:type="dxa" w:w="80"/>
              <w:left w:type="dxa" w:w="110"/>
              <w:bottom w:type="dxa" w:w="80"/>
              <w:right w:type="dxa" w:w="110"/>
            </w:tcMar>
          </w:tcPr>
          <w:p>
            <w:pPr>
              <w:spacing w:after="0" w:line="260"/>
            </w:pPr>
            <w:r>
              <w:rPr>
                <w:rFonts w:ascii="Arial" w:cs="Arial" w:eastAsia="Arial" w:hAnsi="Arial"/>
                <w:color w:val="1A1A1A"/>
                <w:sz w:val="19"/>
                <w:szCs w:val="19"/>
              </w:rPr>
              <w:t xml:space="preserve">mindestens 70 % der aktivierten Nutzer</w:t>
            </w:r>
          </w:p>
        </w:tc>
      </w:tr>
      <w:tr>
        <w:tc>
          <w:tcPr>
            <w:tcW w:type="dxa" w:w="5960"/>
            <w:tcMar>
              <w:top w:type="dxa" w:w="80"/>
              <w:left w:type="dxa" w:w="110"/>
              <w:bottom w:type="dxa" w:w="80"/>
              <w:right w:type="dxa" w:w="110"/>
            </w:tcMar>
          </w:tcPr>
          <w:p>
            <w:pPr>
              <w:spacing w:after="0" w:line="260"/>
            </w:pPr>
            <w:r>
              <w:rPr>
                <w:rFonts w:ascii="Arial" w:cs="Arial" w:eastAsia="Arial" w:hAnsi="Arial"/>
                <w:color w:val="1A1A1A"/>
                <w:sz w:val="19"/>
                <w:szCs w:val="19"/>
              </w:rPr>
              <w:t xml:space="preserve">Rides mit verwertbarer Fahrwerksanalyse</w:t>
            </w:r>
          </w:p>
        </w:tc>
        <w:tc>
          <w:tcPr>
            <w:tcW w:type="dxa" w:w="3400"/>
            <w:tcMar>
              <w:top w:type="dxa" w:w="80"/>
              <w:left w:type="dxa" w:w="110"/>
              <w:bottom w:type="dxa" w:w="80"/>
              <w:right w:type="dxa" w:w="110"/>
            </w:tcMar>
          </w:tcPr>
          <w:p>
            <w:pPr>
              <w:spacing w:after="0" w:line="260"/>
            </w:pPr>
            <w:r>
              <w:rPr>
                <w:rFonts w:ascii="Arial" w:cs="Arial" w:eastAsia="Arial" w:hAnsi="Arial"/>
                <w:color w:val="1A1A1A"/>
                <w:sz w:val="19"/>
                <w:szCs w:val="19"/>
              </w:rPr>
              <w:t xml:space="preserve">mindestens 45 % der MTB-/Enduro-Rides</w:t>
            </w:r>
          </w:p>
        </w:tc>
      </w:tr>
      <w:tr>
        <w:tc>
          <w:tcPr>
            <w:tcW w:type="dxa" w:w="5960"/>
            <w:shd w:fill="F7F9F8" w:color="auto" w:val="clear"/>
            <w:tcMar>
              <w:top w:type="dxa" w:w="80"/>
              <w:left w:type="dxa" w:w="110"/>
              <w:bottom w:type="dxa" w:w="80"/>
              <w:right w:type="dxa" w:w="110"/>
            </w:tcMar>
          </w:tcPr>
          <w:p>
            <w:pPr>
              <w:spacing w:after="0" w:line="260"/>
            </w:pPr>
            <w:r>
              <w:rPr>
                <w:rFonts w:ascii="Arial" w:cs="Arial" w:eastAsia="Arial" w:hAnsi="Arial"/>
                <w:color w:val="1A1A1A"/>
                <w:sz w:val="19"/>
                <w:szCs w:val="19"/>
              </w:rPr>
              <w:t xml:space="preserve">Angenommene Setup-Empfehlungen</w:t>
            </w:r>
          </w:p>
        </w:tc>
        <w:tc>
          <w:tcPr>
            <w:tcW w:type="dxa" w:w="3400"/>
            <w:shd w:fill="F7F9F8" w:color="auto" w:val="clear"/>
            <w:tcMar>
              <w:top w:type="dxa" w:w="80"/>
              <w:left w:type="dxa" w:w="110"/>
              <w:bottom w:type="dxa" w:w="80"/>
              <w:right w:type="dxa" w:w="110"/>
            </w:tcMar>
          </w:tcPr>
          <w:p>
            <w:pPr>
              <w:spacing w:after="0" w:line="260"/>
            </w:pPr>
            <w:r>
              <w:rPr>
                <w:rFonts w:ascii="Arial" w:cs="Arial" w:eastAsia="Arial" w:hAnsi="Arial"/>
                <w:color w:val="1A1A1A"/>
                <w:sz w:val="19"/>
                <w:szCs w:val="19"/>
              </w:rPr>
              <w:t xml:space="preserve">mindestens 25 % der ausgespielten Empfehlungen</w:t>
            </w:r>
          </w:p>
        </w:tc>
      </w:tr>
      <w:tr>
        <w:tc>
          <w:tcPr>
            <w:tcW w:type="dxa" w:w="5960"/>
            <w:tcMar>
              <w:top w:type="dxa" w:w="80"/>
              <w:left w:type="dxa" w:w="110"/>
              <w:bottom w:type="dxa" w:w="80"/>
              <w:right w:type="dxa" w:w="110"/>
            </w:tcMar>
          </w:tcPr>
          <w:p>
            <w:pPr>
              <w:spacing w:after="0" w:line="260"/>
            </w:pPr>
            <w:r>
              <w:rPr>
                <w:rFonts w:ascii="Arial" w:cs="Arial" w:eastAsia="Arial" w:hAnsi="Arial"/>
                <w:color w:val="1A1A1A"/>
                <w:sz w:val="19"/>
                <w:szCs w:val="19"/>
              </w:rPr>
              <w:t xml:space="preserve">Konversion Free zu Pro</w:t>
            </w:r>
          </w:p>
        </w:tc>
        <w:tc>
          <w:tcPr>
            <w:tcW w:type="dxa" w:w="3400"/>
            <w:tcMar>
              <w:top w:type="dxa" w:w="80"/>
              <w:left w:type="dxa" w:w="110"/>
              <w:bottom w:type="dxa" w:w="80"/>
              <w:right w:type="dxa" w:w="110"/>
            </w:tcMar>
          </w:tcPr>
          <w:p>
            <w:pPr>
              <w:spacing w:after="0" w:line="260"/>
            </w:pPr>
            <w:r>
              <w:rPr>
                <w:rFonts w:ascii="Arial" w:cs="Arial" w:eastAsia="Arial" w:hAnsi="Arial"/>
                <w:color w:val="1A1A1A"/>
                <w:sz w:val="19"/>
                <w:szCs w:val="19"/>
              </w:rPr>
              <w:t xml:space="preserve">mindestens 6 %</w:t>
            </w:r>
          </w:p>
        </w:tc>
      </w:tr>
      <w:tr>
        <w:tc>
          <w:tcPr>
            <w:tcW w:type="dxa" w:w="5960"/>
            <w:shd w:fill="F7F9F8" w:color="auto" w:val="clear"/>
            <w:tcMar>
              <w:top w:type="dxa" w:w="80"/>
              <w:left w:type="dxa" w:w="110"/>
              <w:bottom w:type="dxa" w:w="80"/>
              <w:right w:type="dxa" w:w="110"/>
            </w:tcMar>
          </w:tcPr>
          <w:p>
            <w:pPr>
              <w:spacing w:after="0" w:line="260"/>
            </w:pPr>
            <w:r>
              <w:rPr>
                <w:rFonts w:ascii="Arial" w:cs="Arial" w:eastAsia="Arial" w:hAnsi="Arial"/>
                <w:color w:val="1A1A1A"/>
                <w:sz w:val="19"/>
                <w:szCs w:val="19"/>
              </w:rPr>
              <w:t xml:space="preserve">Falsche „passt"-Urteile bei sicherheitsrelevanten Teilen</w:t>
            </w:r>
          </w:p>
        </w:tc>
        <w:tc>
          <w:tcPr>
            <w:tcW w:type="dxa" w:w="3400"/>
            <w:shd w:fill="F7F9F8" w:color="auto" w:val="clear"/>
            <w:tcMar>
              <w:top w:type="dxa" w:w="80"/>
              <w:left w:type="dxa" w:w="110"/>
              <w:bottom w:type="dxa" w:w="80"/>
              <w:right w:type="dxa" w:w="110"/>
            </w:tcMar>
          </w:tcPr>
          <w:p>
            <w:pPr>
              <w:spacing w:after="0" w:line="260"/>
            </w:pPr>
            <w:r>
              <w:rPr>
                <w:rFonts w:ascii="Arial" w:cs="Arial" w:eastAsia="Arial" w:hAnsi="Arial"/>
                <w:color w:val="1A1A1A"/>
                <w:sz w:val="19"/>
                <w:szCs w:val="19"/>
              </w:rPr>
              <w:t xml:space="preserve">null — ohne Ausnahme</w:t>
            </w:r>
          </w:p>
        </w:tc>
      </w:tr>
    </w:tbl>
    <w:p>
      <w:pPr>
        <w:spacing w:after="200" w:before="140" w:line="280"/>
      </w:pPr>
      <w:r>
        <w:rPr>
          <w:rFonts w:ascii="Arial" w:cs="Arial" w:eastAsia="Arial" w:hAnsi="Arial"/>
          <w:color w:val="1A1A1A"/>
          <w:sz w:val="21"/>
          <w:szCs w:val="21"/>
        </w:rPr>
        <w:t xml:space="preserve">Die letzte Zeile ist die härteste Anforderung des Projekts. Ein falsches „passt" bei einer Bremse oder einem Lenker ist ein Produkt- und Reputationstotalschaden. Die Prüf-Engine antwortet im Zweifel mit „Daten unzureichend" statt zu raten — das ist eine bewusste Entscheidung gegen scheinbare Vollständigkeit.</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4  Was im MVP ist — und was bewusst nicht</w:t>
      </w:r>
    </w:p>
    <w:p>
      <w:pPr>
        <w:spacing w:after="180" w:before="0" w:line="280"/>
      </w:pPr>
      <w:r>
        <w:rPr>
          <w:rFonts w:ascii="Arial" w:cs="Arial" w:eastAsia="Arial" w:hAnsi="Arial"/>
          <w:color w:val="1A1A1A"/>
          <w:sz w:val="21"/>
          <w:szCs w:val="21"/>
        </w:rPr>
        <w:t xml:space="preserve">Der MVP muss eine einzige These beweisen: Wenn die App das Bike kennt, sind ihre Aussagen besser. Alles, was diese These nicht prüft, ist gestrichen — auch dann, wenn es im ursprünglichen Auftrag als Must-Have stand. Der Shop ist das prominenteste Beispiel: Er ist die Monetarisierung der These, nicht ihr Beweis.</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3060"/>
        <w:gridCol w:w="1700"/>
        <w:gridCol w:w="1700"/>
        <w:gridCol w:w="1450"/>
        <w:gridCol w:w="1450"/>
      </w:tblGrid>
      <w:tr>
        <w:trPr>
          <w:tblHeader/>
        </w:trPr>
        <w:tc>
          <w:tcPr>
            <w:tcW w:type="dxa" w:w="30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Funktionsbereich</w:t>
            </w:r>
          </w:p>
        </w:tc>
        <w:tc>
          <w:tcPr>
            <w:tcW w:type="dxa" w:w="17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MVP v1.0</w:t>
            </w:r>
          </w:p>
        </w:tc>
        <w:tc>
          <w:tcPr>
            <w:tcW w:type="dxa" w:w="17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v1.1–v1.3</w:t>
            </w:r>
          </w:p>
        </w:tc>
        <w:tc>
          <w:tcPr>
            <w:tcW w:type="dxa" w:w="145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Phase 2</w:t>
            </w:r>
          </w:p>
        </w:tc>
        <w:tc>
          <w:tcPr>
            <w:tcW w:type="dxa" w:w="145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Phase 3</w:t>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Multi-Bike-Garage mit Komponenten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vollständig</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Kompatibilitätsprüfung</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10 Kategorien</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20 Kategorien</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alle</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Setup-Verwaltung und Historie</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Strukturierter Setup-Vergleich</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verfeinert</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Wartungslog und Erinnerungen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Prognose</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Sensorik: Aufzeichnung, Schläge, Schräglage, Flow</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Federwegs-Index und Zugstufen-Empfehlung</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nur mit G-2</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Navigation: 7 Profile, offline, Sprachführung</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E-Bike manuell und Standard-Bluetooth</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Bosch Live Data Interface</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mit G-1</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Reichweitenprognose</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Basismodell</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kalibriert sich</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Post-Ride-Analyse</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Routenvorschläge (KI)</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Fahrerprofil</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Shop (Affiliate)</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Heatmaps, Trail View, KI-Chat</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ja</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Shimano-Direktanbindung</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nur mit G-3</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
            </w:r>
          </w:p>
        </w:tc>
      </w:tr>
      <w:tr>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Marktplatz mit Versand</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Bewertung</w:t>
            </w:r>
          </w:p>
        </w:tc>
        <w:tc>
          <w:tcPr>
            <w:tcW w:type="dxa" w:w="145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bei Bedarf</w:t>
            </w:r>
          </w:p>
        </w:tc>
      </w:tr>
      <w:tr>
        <w:tc>
          <w:tcPr>
            <w:tcW w:type="dxa" w:w="306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Motorsteuerung / Assist-Modus schreiben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c>
          <w:tcPr>
            <w:tcW w:type="dxa" w:w="145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nein</w:t>
            </w:r>
          </w:p>
        </w:tc>
      </w:tr>
    </w:tbl>
    <w:p>
      <w:pPr>
        <w:spacing w:after="60" w:before="140" w:line="280"/>
      </w:pPr>
      <w:r>
        <w:rPr>
          <w:rFonts w:ascii="Arial" w:cs="Arial" w:eastAsia="Arial" w:hAnsi="Arial"/>
          <w:b/>
          <w:bCs/>
          <w:color w:val="1A1A1A"/>
          <w:sz w:val="21"/>
          <w:szCs w:val="21"/>
        </w:rPr>
        <w:t xml:space="preserve">Motorsteuerung und das Schreiben von Assist-Modi </w:t>
      </w:r>
      <w:r>
        <w:rPr>
          <w:rFonts w:ascii="Arial" w:cs="Arial" w:eastAsia="Arial" w:hAnsi="Arial"/>
          <w:color w:val="1A1A1A"/>
          <w:sz w:val="21"/>
          <w:szCs w:val="21"/>
        </w:rPr>
        <w:t xml:space="preserve">sind ohne Herstellervertrag in allen Phasen dauerhaft ausgeschlossen — siehe Abschnitt 2.1.</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5  Zeit, Team und der kritische Pfad</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2100"/>
        <w:gridCol w:w="2100"/>
        <w:gridCol w:w="5160"/>
      </w:tblGrid>
      <w:tr>
        <w:trPr>
          <w:tblHeader/>
        </w:trPr>
        <w:tc>
          <w:tcPr>
            <w:tcW w:type="dxa" w:w="21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Phase</w:t>
            </w:r>
          </w:p>
        </w:tc>
        <w:tc>
          <w:tcPr>
            <w:tcW w:type="dxa" w:w="21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Zeitraum</w:t>
            </w:r>
          </w:p>
        </w:tc>
        <w:tc>
          <w:tcPr>
            <w:tcW w:type="dxa" w:w="51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Inhalt</w:t>
            </w:r>
          </w:p>
        </w:tc>
      </w:tr>
      <w:tr>
        <w:tc>
          <w:tcPr>
            <w:tcW w:type="dxa" w:w="21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Fundament</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1–2</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Herstellerzugänge klären, Datenmodell, Synchronisation, Signalverarbeitung als Prototyp, Kalibrierverfahren, Designsystem, Werkzeuge für die Katalogpflege</w:t>
            </w:r>
          </w:p>
        </w:tc>
      </w:tr>
      <w:tr>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MVP-Bau</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3–7</w:t>
            </w:r>
          </w:p>
        </w:tc>
        <w:tc>
          <w:tcPr>
            <w:tcW w:type="dxa" w:w="51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Garage, Kompatibilität, Setups, Vergleichsverfahren, Ride, Navigation, Post-Ride, Bosch-Anbindung</w:t>
            </w:r>
          </w:p>
        </w:tc>
      </w:tr>
      <w:tr>
        <w:tc>
          <w:tcPr>
            <w:tcW w:type="dxa" w:w="21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Feldvalidierung</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5–7 parallel</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Fahrwerksstudie gegen Referenzmesstechnik (Gate G-2)</w:t>
            </w:r>
          </w:p>
        </w:tc>
      </w:tr>
      <w:tr>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Beta</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8</w:t>
            </w:r>
          </w:p>
        </w:tc>
        <w:tc>
          <w:tcPr>
            <w:tcW w:type="dxa" w:w="51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150–300 Testfahrer, Datenschutz-Folgenabschätzung, Store-Einreichung</w:t>
            </w:r>
          </w:p>
        </w:tc>
      </w:tr>
      <w:tr>
        <w:tc>
          <w:tcPr>
            <w:tcW w:type="dxa" w:w="21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Launch v1.0</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9</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Markteinführung DACH</w:t>
            </w:r>
          </w:p>
        </w:tc>
      </w:tr>
      <w:tr>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Ausbau</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10–15</w:t>
            </w:r>
          </w:p>
        </w:tc>
        <w:tc>
          <w:tcPr>
            <w:tcW w:type="dxa" w:w="51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Empfehlungen, Fahrerprofil, Reichweite, Strava, Affiliate-Shop</w:t>
            </w:r>
          </w:p>
        </w:tc>
      </w:tr>
    </w:tbl>
    <w:p>
      <w:pPr>
        <w:pStyle w:val="Heading2"/>
        <w:keepNext/>
        <w:keepLines/>
        <w:spacing w:after="100" w:before="280"/>
      </w:pPr>
      <w:r>
        <w:rPr>
          <w:rFonts w:ascii="Arial" w:cs="Arial" w:eastAsia="Arial" w:hAnsi="Arial"/>
          <w:b/>
          <w:bCs/>
          <w:color w:val="1F5F45"/>
          <w:sz w:val="24"/>
          <w:szCs w:val="24"/>
        </w:rPr>
        <w:t xml:space="preserve">Kernteam</w:t>
      </w:r>
    </w:p>
    <w:p>
      <w:pPr>
        <w:spacing w:after="120" w:before="0" w:line="280"/>
      </w:pPr>
      <w:r>
        <w:rPr>
          <w:rFonts w:ascii="Arial" w:cs="Arial" w:eastAsia="Arial" w:hAnsi="Arial"/>
          <w:color w:val="1A1A1A"/>
          <w:sz w:val="21"/>
          <w:szCs w:val="21"/>
        </w:rPr>
        <w:t xml:space="preserve">1 Product Manager · 1 Product Designer · 2 Mobile-Entwickler · 2 Backend-Entwickler · 1 ML-/Sensor-Ingenieur · 1 QA · 0,5 DevOps · 1 Datenkuration. Extern: Fachanwalt und Datenschutzbeauftragter, Fahrwerkstechniker als Fachberater.</w:t>
      </w:r>
    </w:p>
    <w:p>
      <w:pPr>
        <w:pStyle w:val="ListParagraph"/>
        <w:numPr>
          <w:ilvl w:val="0"/>
          <w:numId w:val="2"/>
        </w:numPr>
        <w:spacing w:after="80" w:line="280"/>
      </w:pPr>
      <w:r>
        <w:rPr>
          <w:rFonts w:ascii="Arial" w:cs="Arial" w:eastAsia="Arial" w:hAnsi="Arial"/>
          <w:b/>
          <w:bCs/>
          <w:color w:val="1A1A1A"/>
          <w:sz w:val="21"/>
          <w:szCs w:val="21"/>
        </w:rPr>
        <w:t xml:space="preserve">Nicht verhandelbar: </w:t>
      </w:r>
      <w:r>
        <w:rPr>
          <w:rFonts w:ascii="Arial" w:cs="Arial" w:eastAsia="Arial" w:hAnsi="Arial"/>
          <w:color w:val="1A1A1A"/>
          <w:sz w:val="21"/>
          <w:szCs w:val="21"/>
        </w:rPr>
        <w:t xml:space="preserve">Einer der beiden Mobile-Entwickler muss nachgewiesene Erfahrung mit nativer Sensorik und Bluetooth haben. Dieser Anteil macht 15–20 % des Codes aus, trägt aber 80 % des technischen Risikos.</w:t>
      </w:r>
    </w:p>
    <w:p>
      <w:pPr>
        <w:pStyle w:val="ListParagraph"/>
        <w:numPr>
          <w:ilvl w:val="0"/>
          <w:numId w:val="2"/>
        </w:numPr>
        <w:spacing w:after="80" w:line="280"/>
      </w:pPr>
      <w:r>
        <w:rPr>
          <w:rFonts w:ascii="Arial" w:cs="Arial" w:eastAsia="Arial" w:hAnsi="Arial"/>
          <w:b/>
          <w:bCs/>
          <w:color w:val="1A1A1A"/>
          <w:sz w:val="21"/>
          <w:szCs w:val="21"/>
        </w:rPr>
        <w:t xml:space="preserve">Ebenfalls nicht verhandelbar: </w:t>
      </w:r>
      <w:r>
        <w:rPr>
          <w:rFonts w:ascii="Arial" w:cs="Arial" w:eastAsia="Arial" w:hAnsi="Arial"/>
          <w:color w:val="1A1A1A"/>
          <w:sz w:val="21"/>
          <w:szCs w:val="21"/>
        </w:rPr>
        <w:t xml:space="preserve">Die Stelle für Datenkuration ist eine eigene Rolle, keine Nebentätigkeit von Entwicklern.</w:t>
      </w:r>
    </w:p>
    <w:p>
      <w:pPr>
        <w:pBdr>
          <w:left w:val="single" w:color="C2410C" w:sz="18" w:space="10"/>
        </w:pBdr>
        <w:shd w:fill="EEF3F0" w:color="auto" w:val="clear"/>
        <w:spacing w:after="0" w:before="160"/>
      </w:pPr>
      <w:r>
        <w:rPr>
          <w:rFonts w:ascii="Arial" w:cs="Arial" w:eastAsia="Arial" w:hAnsi="Arial"/>
          <w:b/>
          <w:bCs/>
          <w:color w:val="123528"/>
          <w:sz w:val="21"/>
          <w:szCs w:val="21"/>
        </w:rPr>
        <w:t xml:space="preserve">Der kritische Pfad ist nicht die Software, sondern der Katalog.</w:t>
      </w:r>
    </w:p>
    <w:p>
      <w:pPr>
        <w:pBdr>
          <w:left w:val="single" w:color="C2410C" w:sz="18" w:space="10"/>
        </w:pBdr>
        <w:shd w:fill="EEF3F0" w:color="auto" w:val="clear"/>
        <w:spacing w:after="200" w:before="40"/>
      </w:pPr>
      <w:r>
        <w:rPr>
          <w:rFonts w:ascii="Arial" w:cs="Arial" w:eastAsia="Arial" w:hAnsi="Arial"/>
          <w:color w:val="1A1A1A"/>
          <w:sz w:val="21"/>
          <w:szCs w:val="21"/>
        </w:rPr>
        <w:t xml:space="preserve">Rund 3.000 Komponentenmodelle mit vollständigen technischen Merkmalen zu je 10–15 Minuten ergeben etwa 600 Personenstunden. Dazu rund 150 Kompatibilitätsregeln mit Testfällen und Zweitprüfung. In Summe rund vier Personenmonate reine Datenarbeit, die ab Monat 1 laufen muss. Wird das übersehen, steht zum Launch eine funktionierende Prüf-Engine ohne Daten — der häufigste Weg, wie Produkte dieser Art scheitern.</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6  Sechs Entscheidungspunkte</w:t>
      </w:r>
    </w:p>
    <w:p>
      <w:pPr>
        <w:spacing w:after="180" w:before="0" w:line="280"/>
      </w:pPr>
      <w:r>
        <w:rPr>
          <w:rFonts w:ascii="Arial" w:cs="Arial" w:eastAsia="Arial" w:hAnsi="Arial"/>
          <w:color w:val="1A1A1A"/>
          <w:sz w:val="21"/>
          <w:szCs w:val="21"/>
        </w:rPr>
        <w:t xml:space="preserve">An diesen Punkten entscheidet ein externes Ergebnis über den weiteren Weg. Jeder Punkt hat eine definierte Konsequenz, falls die Bedingung nicht erfüllt wird — es gibt kein „wir schauen dann".</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900"/>
        <w:gridCol w:w="2500"/>
        <w:gridCol w:w="2900"/>
        <w:gridCol w:w="3060"/>
      </w:tblGrid>
      <w:tr>
        <w:trPr>
          <w:tblHeader/>
        </w:trPr>
        <w:tc>
          <w:tcPr>
            <w:tcW w:type="dxa" w:w="9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Gate</w:t>
            </w:r>
          </w:p>
        </w:tc>
        <w:tc>
          <w:tcPr>
            <w:tcW w:type="dxa" w:w="25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Gegenstand</w:t>
            </w:r>
          </w:p>
        </w:tc>
        <w:tc>
          <w:tcPr>
            <w:tcW w:type="dxa" w:w="29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Bedingung</w:t>
            </w:r>
          </w:p>
        </w:tc>
        <w:tc>
          <w:tcPr>
            <w:tcW w:type="dxa" w:w="30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Konsequenz bei Nichterfüllung</w:t>
            </w:r>
          </w:p>
        </w:tc>
      </w:tr>
      <w:tr>
        <w:tc>
          <w:tcPr>
            <w:tcW w:type="dxa" w:w="9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G-0</w:t>
            </w:r>
          </w:p>
        </w:tc>
        <w:tc>
          <w:tcPr>
            <w:tcW w:type="dxa" w:w="25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Team-Aufstellung</w:t>
            </w:r>
          </w:p>
        </w:tc>
        <w:tc>
          <w:tcPr>
            <w:tcW w:type="dxa" w:w="29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Mobile-Technologie bestätigt</w:t>
            </w:r>
          </w:p>
        </w:tc>
        <w:tc>
          <w:tcPr>
            <w:tcW w:type="dxa" w:w="3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Architekturentscheidung neu bewerten</w:t>
            </w:r>
          </w:p>
        </w:tc>
      </w:tr>
      <w:tr>
        <w:tc>
          <w:tcPr>
            <w:tcW w:type="dxa" w:w="9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G-1</w:t>
            </w:r>
          </w:p>
        </w:tc>
        <w:tc>
          <w:tcPr>
            <w:tcW w:type="dxa" w:w="25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Bosch-Zugang</w:t>
            </w:r>
          </w:p>
        </w:tc>
        <w:tc>
          <w:tcPr>
            <w:tcW w:type="dxa" w:w="29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Bedingungen geklärt und erfüllbar</w:t>
            </w:r>
          </w:p>
        </w:tc>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E-Bike-Telemetrie entfällt, manuelle Stufe bleibt; Marketing anpassen</w:t>
            </w:r>
          </w:p>
        </w:tc>
      </w:tr>
      <w:tr>
        <w:tc>
          <w:tcPr>
            <w:tcW w:type="dxa" w:w="9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G-2</w:t>
            </w:r>
          </w:p>
        </w:tc>
        <w:tc>
          <w:tcPr>
            <w:tcW w:type="dxa" w:w="25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Fahrwerksvalidierung</w:t>
            </w:r>
          </w:p>
        </w:tc>
        <w:tc>
          <w:tcPr>
            <w:tcW w:type="dxa" w:w="29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Messkriterien im Feld erfüllt</w:t>
            </w:r>
          </w:p>
        </w:tc>
        <w:tc>
          <w:tcPr>
            <w:tcW w:type="dxa" w:w="3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Fahrwerksfunktionen gehen nicht live; Produktversprechen und Preismodell überarbeiten</w:t>
            </w:r>
          </w:p>
        </w:tc>
      </w:tr>
      <w:tr>
        <w:tc>
          <w:tcPr>
            <w:tcW w:type="dxa" w:w="9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G-3</w:t>
            </w:r>
          </w:p>
        </w:tc>
        <w:tc>
          <w:tcPr>
            <w:tcW w:type="dxa" w:w="25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Shimano-Lizenz</w:t>
            </w:r>
          </w:p>
        </w:tc>
        <w:tc>
          <w:tcPr>
            <w:tcW w:type="dxa" w:w="29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Vertrag unterzeichnet</w:t>
            </w:r>
          </w:p>
        </w:tc>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Direktanbindung ersatzlos gestrichen</w:t>
            </w:r>
          </w:p>
        </w:tc>
      </w:tr>
      <w:tr>
        <w:tc>
          <w:tcPr>
            <w:tcW w:type="dxa" w:w="9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G-4</w:t>
            </w:r>
          </w:p>
        </w:tc>
        <w:tc>
          <w:tcPr>
            <w:tcW w:type="dxa" w:w="25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Katalogabdeckung</w:t>
            </w:r>
          </w:p>
        </w:tc>
        <w:tc>
          <w:tcPr>
            <w:tcW w:type="dxa" w:w="29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mind. 3.000 Komponenten in den 10 wichtigsten Kategorien</w:t>
            </w:r>
          </w:p>
        </w:tc>
        <w:tc>
          <w:tcPr>
            <w:tcW w:type="dxa" w:w="3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Prüf-Engine startet eingeschränkt, offen kommuniziert</w:t>
            </w:r>
          </w:p>
        </w:tc>
      </w:tr>
      <w:tr>
        <w:tc>
          <w:tcPr>
            <w:tcW w:type="dxa" w:w="9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G-5</w:t>
            </w:r>
          </w:p>
        </w:tc>
        <w:tc>
          <w:tcPr>
            <w:tcW w:type="dxa" w:w="25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Wegerecht</w:t>
            </w:r>
          </w:p>
        </w:tc>
        <w:tc>
          <w:tcPr>
            <w:tcW w:type="dxa" w:w="29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Rechtslage je Zielmarkt geprüft</w:t>
            </w:r>
          </w:p>
        </w:tc>
        <w:tc>
          <w:tcPr>
            <w:tcW w:type="dxa" w:w="3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Markteinführung nur in geprüften Ländern</w:t>
            </w:r>
          </w:p>
        </w:tc>
      </w:tr>
    </w:tbl>
    <w:p>
      <w:pPr>
        <w:pStyle w:val="Heading2"/>
        <w:keepNext/>
        <w:keepLines/>
        <w:spacing w:after="100" w:before="280"/>
      </w:pPr>
      <w:r>
        <w:rPr>
          <w:rFonts w:ascii="Arial" w:cs="Arial" w:eastAsia="Arial" w:hAnsi="Arial"/>
          <w:b/>
          <w:bCs/>
          <w:color w:val="1F5F45"/>
          <w:sz w:val="24"/>
          <w:szCs w:val="24"/>
        </w:rPr>
        <w:t xml:space="preserve">Warum Gate G-2 besonders zählt</w:t>
      </w:r>
    </w:p>
    <w:p>
      <w:pPr>
        <w:spacing w:after="200" w:before="0" w:line="280"/>
      </w:pPr>
      <w:r>
        <w:rPr>
          <w:rFonts w:ascii="Arial" w:cs="Arial" w:eastAsia="Arial" w:hAnsi="Arial"/>
          <w:color w:val="1A1A1A"/>
          <w:sz w:val="21"/>
          <w:szCs w:val="21"/>
        </w:rPr>
        <w:t xml:space="preserve">Die Fahrwerksfunktionen gehen erst nach einer Feldstudie gegen echte Federwegssensorik live: mindestens 12 Fahrer, 6 Bikes, 40 Fahrstunden, mit vorab festgelegten Trefferquoten. Wird ein Kriterium verfehlt, bleibt die Funktion draußen. Das ist unbequem, aber die Alternative wäre, eine Messgenauigkeit zu behaupten, die wir nicht belegen können — in einer Nutzergruppe, die das binnen Wochen bemerkt. Das Produkt trägt auch ohne diese Funktionen: Garage, Kompatibilität, Navigation und der strukturierte Setup-Vergleich bleiben davon unberührt.</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7  Die sechs größten Risiken</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700"/>
        <w:gridCol w:w="2700"/>
        <w:gridCol w:w="900"/>
        <w:gridCol w:w="5060"/>
      </w:tblGrid>
      <w:tr>
        <w:trPr>
          <w:tblHeader/>
        </w:trPr>
        <w:tc>
          <w:tcPr>
            <w:tcW w:type="dxa" w:w="7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Nr.</w:t>
            </w:r>
          </w:p>
        </w:tc>
        <w:tc>
          <w:tcPr>
            <w:tcW w:type="dxa" w:w="27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Risiko</w:t>
            </w:r>
          </w:p>
        </w:tc>
        <w:tc>
          <w:tcPr>
            <w:tcW w:type="dxa" w:w="9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Bewertung</w:t>
            </w:r>
          </w:p>
        </w:tc>
        <w:tc>
          <w:tcPr>
            <w:tcW w:type="dxa" w:w="50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Gegenmaßnahme</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R-16</w:t>
            </w:r>
          </w:p>
        </w:tc>
        <w:tc>
          <w:tcPr>
            <w:tcW w:type="dxa" w:w="2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Nutzer pflegen ihre Garage nicht — das Fundament bleibt leer</w:t>
            </w:r>
          </w:p>
        </w:tc>
        <w:tc>
          <w:tcPr>
            <w:tcW w:type="dxa" w:w="9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mittel / sehr hoch</w:t>
            </w:r>
          </w:p>
        </w:tc>
        <w:tc>
          <w:tcPr>
            <w:tcW w:type="dxa" w:w="5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Vorbefüllung aus Ausstattungslisten der Fahrradhersteller als Standardweg; jeder ausgefüllte Eintrag schaltet sofort sichtbaren Nutzen frei; Fortschrittsanzeige mit konkretem nächstem Schritt</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R-04</w:t>
            </w:r>
          </w:p>
        </w:tc>
        <w:tc>
          <w:tcPr>
            <w:tcW w:type="dxa" w:w="2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Katalogdaten unvollständig — zu viele „Daten unzureichend"-Urteile</w:t>
            </w:r>
          </w:p>
        </w:tc>
        <w:tc>
          <w:tcPr>
            <w:tcW w:type="dxa" w:w="9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hoch / hoch</w:t>
            </w:r>
          </w:p>
        </w:tc>
        <w:tc>
          <w:tcPr>
            <w:tcW w:type="dxa" w:w="5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Eigene Rolle ab Monat 1; Start mit den zehn kaufhäufigsten Kategorien; Abdeckungsquote als Wochenkennzahl</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R-07</w:t>
            </w:r>
          </w:p>
        </w:tc>
        <w:tc>
          <w:tcPr>
            <w:tcW w:type="dxa" w:w="2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Haftung für Setup-Empfehlungen im Schadensfall</w:t>
            </w:r>
          </w:p>
        </w:tc>
        <w:tc>
          <w:tcPr>
            <w:tcW w:type="dxa" w:w="9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niedrig / sehr hoch</w:t>
            </w:r>
          </w:p>
        </w:tc>
        <w:tc>
          <w:tcPr>
            <w:tcW w:type="dxa" w:w="5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Empfehlungen nie außerhalb der Herstellergrenzen; keine Empfehlungen zu sicherheitsrelevanten Eingriffen; jede Empfehlung protokolliert und rekonstruierbar; anwaltlich geprüfte Hinweistexte; Produkthaftpflicht</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R-03</w:t>
            </w:r>
          </w:p>
        </w:tc>
        <w:tc>
          <w:tcPr>
            <w:tcW w:type="dxa" w:w="2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Fahrwerksvalidierung scheitert</w:t>
            </w:r>
          </w:p>
        </w:tc>
        <w:tc>
          <w:tcPr>
            <w:tcW w:type="dxa" w:w="9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mittel / hoch</w:t>
            </w:r>
          </w:p>
        </w:tc>
        <w:tc>
          <w:tcPr>
            <w:tcW w:type="dxa" w:w="5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Studie früh statt kurz vor Launch; Produkt trägt auch ohne; Preismodell hat eine Rückfallvariante</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R-11</w:t>
            </w:r>
          </w:p>
        </w:tc>
        <w:tc>
          <w:tcPr>
            <w:tcW w:type="dxa" w:w="27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Umfang wächst — die App will alles gleichzeitig sein</w:t>
            </w:r>
          </w:p>
        </w:tc>
        <w:tc>
          <w:tcPr>
            <w:tcW w:type="dxa" w:w="9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hoch / hoch</w:t>
            </w:r>
          </w:p>
        </w:tc>
        <w:tc>
          <w:tcPr>
            <w:tcW w:type="dxa" w:w="50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Nordstern-Metrik als Entscheidungsgrundlage; kein Feature ohne zugeordnete Kennzahl</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R-13</w:t>
            </w:r>
          </w:p>
        </w:tc>
        <w:tc>
          <w:tcPr>
            <w:tcW w:type="dxa" w:w="27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Datenschutzverstoß bei Standort- und Gesundheitsdaten</w:t>
            </w:r>
          </w:p>
        </w:tc>
        <w:tc>
          <w:tcPr>
            <w:tcW w:type="dxa" w:w="9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niedrig / sehr hoch</w:t>
            </w:r>
          </w:p>
        </w:tc>
        <w:tc>
          <w:tcPr>
            <w:tcW w:type="dxa" w:w="50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Folgenabschätzung vor Launch; getrennte, einzeln widerrufbare Einwilligungen; Privatsphärenzonen als Voreinstellung; Datensparsamkeit gegenüber dem Sprachmodell-Anbieter</w:t>
            </w:r>
          </w:p>
        </w:tc>
      </w:tr>
    </w:tbl>
    <w:p>
      <w:pPr>
        <w:spacing w:after="120" w:before="120" w:line="280"/>
      </w:pPr>
      <w:r>
        <w:rPr>
          <w:rFonts w:ascii="Arial" w:cs="Arial" w:eastAsia="Arial" w:hAnsi="Arial"/>
          <w:i/>
          <w:iCs/>
          <w:color w:val="595959"/>
          <w:sz w:val="19"/>
          <w:szCs w:val="19"/>
        </w:rPr>
        <w:t xml:space="preserve">Bewertung als Eintrittswahrscheinlichkeit / Auswirkung. Die vollständige Liste mit 16 Risiken steht in Kapitel 10 der Spezifikation.</w:t>
      </w:r>
    </w:p>
    <w:p>
      <w:pPr>
        <w:pStyle w:val="Heading1"/>
        <w:keepNext/>
        <w:keepLines/>
        <w:pBdr>
          <w:bottom w:val="single" w:color="1F5F45" w:sz="8" w:space="6"/>
        </w:pBdr>
        <w:spacing w:after="160" w:before="400"/>
      </w:pPr>
      <w:r>
        <w:rPr>
          <w:rFonts w:ascii="Arial" w:cs="Arial" w:eastAsia="Arial" w:hAnsi="Arial"/>
          <w:b/>
          <w:bCs/>
          <w:color w:val="123528"/>
          <w:sz w:val="30"/>
          <w:szCs w:val="30"/>
        </w:rPr>
        <w:t xml:space="preserve">8  Was wir jetzt von Ihnen brauchen</w:t>
      </w:r>
    </w:p>
    <w:p>
      <w:pPr>
        <w:spacing w:after="180" w:before="0" w:line="280"/>
      </w:pPr>
      <w:r>
        <w:rPr>
          <w:rFonts w:ascii="Arial" w:cs="Arial" w:eastAsia="Arial" w:hAnsi="Arial"/>
          <w:color w:val="1A1A1A"/>
          <w:sz w:val="21"/>
          <w:szCs w:val="21"/>
        </w:rPr>
        <w:t xml:space="preserve">Neun Entscheidungen und Klärungen, jeweils mit Termin. Ohne sie kann der Bau nicht sauber starten.</w:t>
      </w:r>
    </w:p>
    <w:tbl>
      <w:tblPr>
        <w:tblW w:type="dxa" w:w="9360"/>
        <w:tblBorders>
          <w:top w:val="single" w:color="C9D6D0" w:sz="4"/>
          <w:left w:val="single" w:color="C9D6D0" w:sz="4"/>
          <w:bottom w:val="single" w:color="C9D6D0" w:sz="4"/>
          <w:right w:val="single" w:color="C9D6D0" w:sz="4"/>
          <w:insideH w:val="single" w:color="DDE5E1" w:sz="2"/>
          <w:insideV w:val="single" w:color="DDE5E1" w:sz="2"/>
        </w:tblBorders>
      </w:tblPr>
      <w:tblGrid>
        <w:gridCol w:w="700"/>
        <w:gridCol w:w="4460"/>
        <w:gridCol w:w="2100"/>
        <w:gridCol w:w="2100"/>
      </w:tblGrid>
      <w:tr>
        <w:trPr>
          <w:tblHeader/>
        </w:trPr>
        <w:tc>
          <w:tcPr>
            <w:tcW w:type="dxa" w:w="7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Nr.</w:t>
            </w:r>
          </w:p>
        </w:tc>
        <w:tc>
          <w:tcPr>
            <w:tcW w:type="dxa" w:w="446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Entscheidung oder Klärung</w:t>
            </w:r>
          </w:p>
        </w:tc>
        <w:tc>
          <w:tcPr>
            <w:tcW w:type="dxa" w:w="21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Wer</w:t>
            </w:r>
          </w:p>
        </w:tc>
        <w:tc>
          <w:tcPr>
            <w:tcW w:type="dxa" w:w="2100"/>
            <w:shd w:fill="123528"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Bis</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1</w:t>
            </w:r>
          </w:p>
        </w:tc>
        <w:tc>
          <w:tcPr>
            <w:tcW w:type="dxa" w:w="44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Freigabe der fünf Korrekturen aus Abschnitt 2 — insbesondere Verzicht auf Motorsteuerung und Verschiebung des Shops</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Geschäftsführung</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vor Sprint 1</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2</w:t>
            </w:r>
          </w:p>
        </w:tc>
        <w:tc>
          <w:tcPr>
            <w:tcW w:type="dxa" w:w="44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Bosch-Zugang klären: Nutzungsbedingungen, Registrierung, Markenrichtlinien</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Product Management</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vor Sprint 1</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3</w:t>
            </w:r>
          </w:p>
        </w:tc>
        <w:tc>
          <w:tcPr>
            <w:tcW w:type="dxa" w:w="44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Team-Aufstellung bestätigen, insbesondere die native Sensor- und Bluetooth-Kompetenz</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Engineering-Leitung</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vor Sprint 1</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4</w:t>
            </w:r>
          </w:p>
        </w:tc>
        <w:tc>
          <w:tcPr>
            <w:tcW w:type="dxa" w:w="44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Budget und Besetzung der Datenkuration freigeben</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Geschäftsführung</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1</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5</w:t>
            </w:r>
          </w:p>
        </w:tc>
        <w:tc>
          <w:tcPr>
            <w:tcW w:type="dxa" w:w="44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Rechtsberatung beauftragen: Haftung für Setup-Empfehlungen, Wegerecht, Lizenzfragen der Kartendaten</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Legal</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2–3</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6</w:t>
            </w:r>
          </w:p>
        </w:tc>
        <w:tc>
          <w:tcPr>
            <w:tcW w:type="dxa" w:w="44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Sprachmodell-Anbieter mit EU-Verarbeitung und Auftragsverarbeitungsvertrag auswählen</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CTO</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4</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7</w:t>
            </w:r>
          </w:p>
        </w:tc>
        <w:tc>
          <w:tcPr>
            <w:tcW w:type="dxa" w:w="44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Preismodell nach Zahlungsbereitschaftsbefragung bestätigen</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Product Management</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6</w:t>
            </w:r>
          </w:p>
        </w:tc>
      </w:tr>
      <w:tr>
        <w:tc>
          <w:tcPr>
            <w:tcW w:type="dxa" w:w="700"/>
            <w:shd w:fill="F7F9F8" w:color="auto" w:val="clear"/>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8</w:t>
            </w:r>
          </w:p>
        </w:tc>
        <w:tc>
          <w:tcPr>
            <w:tcW w:type="dxa" w:w="446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Entscheidung über Gate G-2 nach Vorliegen der Studienergebnisse</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Geschäftsführung</w:t>
            </w:r>
          </w:p>
        </w:tc>
        <w:tc>
          <w:tcPr>
            <w:tcW w:type="dxa" w:w="2100"/>
            <w:shd w:fill="F7F9F8" w:color="auto" w:val="clear"/>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7</w:t>
            </w:r>
          </w:p>
        </w:tc>
      </w:tr>
      <w:tr>
        <w:tc>
          <w:tcPr>
            <w:tcW w:type="dxa" w:w="700"/>
            <w:tcMar>
              <w:top w:type="dxa" w:w="80"/>
              <w:left w:type="dxa" w:w="110"/>
              <w:bottom w:type="dxa" w:w="80"/>
              <w:right w:type="dxa" w:w="110"/>
            </w:tcMar>
          </w:tcPr>
          <w:p>
            <w:pPr>
              <w:spacing w:after="0" w:line="260"/>
            </w:pPr>
            <w:r>
              <w:rPr>
                <w:rFonts w:ascii="Arial" w:cs="Arial" w:eastAsia="Arial" w:hAnsi="Arial"/>
                <w:b/>
                <w:bCs/>
                <w:color w:val="1A1A1A"/>
                <w:sz w:val="19"/>
                <w:szCs w:val="19"/>
              </w:rPr>
              <w:t xml:space="preserve">9</w:t>
            </w:r>
          </w:p>
        </w:tc>
        <w:tc>
          <w:tcPr>
            <w:tcW w:type="dxa" w:w="446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Kontaktaufnahme zum Shimano-Lizenzprogramm — Ergebnis offen, Planung läuft ohne</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Product Management</w:t>
            </w:r>
          </w:p>
        </w:tc>
        <w:tc>
          <w:tcPr>
            <w:tcW w:type="dxa" w:w="2100"/>
            <w:tcMar>
              <w:top w:type="dxa" w:w="80"/>
              <w:left w:type="dxa" w:w="110"/>
              <w:bottom w:type="dxa" w:w="80"/>
              <w:right w:type="dxa" w:w="110"/>
            </w:tcMar>
          </w:tcPr>
          <w:p>
            <w:pPr>
              <w:spacing w:after="0" w:line="260"/>
            </w:pPr>
            <w:r>
              <w:rPr>
                <w:rFonts w:ascii="Arial" w:cs="Arial" w:eastAsia="Arial" w:hAnsi="Arial"/>
                <w:b w:val="false"/>
                <w:bCs w:val="false"/>
                <w:color w:val="1A1A1A"/>
                <w:sz w:val="19"/>
                <w:szCs w:val="19"/>
              </w:rPr>
              <w:t xml:space="preserve">Monat 2, Ergebnis Monat 6</w:t>
            </w:r>
          </w:p>
        </w:tc>
      </w:tr>
    </w:tbl>
    <w:p>
      <w:pPr>
        <w:pStyle w:val="Heading2"/>
        <w:keepNext/>
        <w:keepLines/>
        <w:spacing w:after="100" w:before="280"/>
      </w:pPr>
      <w:r>
        <w:rPr>
          <w:rFonts w:ascii="Arial" w:cs="Arial" w:eastAsia="Arial" w:hAnsi="Arial"/>
          <w:b/>
          <w:bCs/>
          <w:color w:val="1F5F45"/>
          <w:sz w:val="24"/>
          <w:szCs w:val="24"/>
        </w:rPr>
        <w:t xml:space="preserve">Empfehlung</w:t>
      </w:r>
    </w:p>
    <w:p>
      <w:pPr>
        <w:spacing w:after="200" w:before="0" w:line="280"/>
      </w:pPr>
      <w:r>
        <w:rPr>
          <w:rFonts w:ascii="Arial" w:cs="Arial" w:eastAsia="Arial" w:hAnsi="Arial"/>
          <w:color w:val="1A1A1A"/>
          <w:sz w:val="21"/>
          <w:szCs w:val="21"/>
        </w:rPr>
        <w:t xml:space="preserve">Starten. Die technischen Unbekannten sind identifiziert und mit Entscheidungspunkten versehen, statt sie in die Umsetzung zu tragen. Die eine Sache, die wirklich über Erfolg oder Misserfolg entscheidet, ist unspektakulär: dass jemand ab Monat 1 die Komponentendaten pflegt. Wird diese Stelle nicht besetzt, ist das Ergebnis nach neun Monaten eine technisch saubere App, die keine Frage beantworten kann.</w:t>
      </w:r>
    </w:p>
    <w:p>
      <w:pPr>
        <w:spacing w:after="120" w:before="0" w:line="280"/>
      </w:pPr>
      <w:r>
        <w:rPr>
          <w:rFonts w:ascii="Arial" w:cs="Arial" w:eastAsia="Arial" w:hAnsi="Arial"/>
          <w:i/>
          <w:iCs/>
          <w:color w:val="595959"/>
          <w:sz w:val="19"/>
          <w:szCs w:val="19"/>
        </w:rPr>
        <w:t xml:space="preserve">Die vollständige Spezifikation mit Feature-IDs, Datenmodellen, Schnittstellen und Abnahmekriterien liegt als separates Dokument vor und ist die verbindliche Grundlage für die Umsetzung.</w:t>
      </w:r>
    </w:p>
    <w:sectPr>
      <w:headerReference w:type="default" r:id="rId7"/>
      <w:footerReference w:type="default" r:id="rId8"/>
      <w:pgSz w:w="11906" w:h="16838" w:orient="portrait"/>
      <w:pgMar w:top="1180" w:right="1273" w:bottom="118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7"/>
        <w:szCs w:val="17"/>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0" w:sz="4" w:space="4"/>
      </w:pBdr>
      <w:spacing w:after="160"/>
      <w:jc w:val="right"/>
    </w:pPr>
    <w:r>
      <w:rPr>
        <w:rFonts w:ascii="Arial" w:cs="Arial" w:eastAsia="Arial" w:hAnsi="Arial"/>
        <w:color w:val="595959"/>
        <w:sz w:val="17"/>
        <w:szCs w:val="17"/>
      </w:rPr>
      <w:t xml:space="preserve">AetherRide — Entscheidungsvorlage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AetherRide — Entscheidungsvorlage für Stakeholder</dc:title>
  <dc:creator>AetherRide Produktteam</dc:creator>
  <dc:description>Produktkonzept, MVP-Schnitt, Investitionsbedarf, Entscheidungen</dc:description>
  <cp:lastModifiedBy>Un-named</cp:lastModifiedBy>
  <cp:revision>1</cp:revision>
  <dcterms:created xsi:type="dcterms:W3CDTF">2026-08-06T09:07:53.982Z</dcterms:created>
  <dcterms:modified xsi:type="dcterms:W3CDTF">2026-08-06T09:07:53.982Z</dcterms:modified>
</cp:coreProperties>
</file>

<file path=docProps/custom.xml><?xml version="1.0" encoding="utf-8"?>
<Properties xmlns="http://schemas.openxmlformats.org/officeDocument/2006/custom-properties" xmlns:vt="http://schemas.openxmlformats.org/officeDocument/2006/docPropsVTypes"/>
</file>