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</w:t>
      </w:r>
      <w:r>
        <w:rPr>
          <w:rFonts w:hint="eastAsia" w:ascii="Times New Roman" w:hAnsi="Times New Roman" w:cs="Times New Roman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szCs w:val="21"/>
        </w:rPr>
        <w:t>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S</w:t>
      </w:r>
      <w:r>
        <w:rPr>
          <w:rFonts w:ascii="Times New Roman" w:hAnsi="Times New Roman" w:cs="Times New Roman"/>
          <w:szCs w:val="21"/>
        </w:rPr>
        <w:t>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P</w:t>
      </w:r>
      <w:bookmarkStart w:id="0" w:name="_GoBack"/>
      <w:bookmarkEnd w:id="0"/>
      <w:r>
        <w:rPr>
          <w:rFonts w:ascii="Times New Roman" w:hAnsi="Times New Roman" w:cs="Times New Roman"/>
          <w:szCs w:val="21"/>
        </w:rPr>
        <w:t>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sessionId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用户缓存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如：{"roleResource":[{"orgType":"capital:view","id":"8","parentId":"1","children":[{"orgType":"capital:import","id":"9","parentId":"8","children":[],"pid":"73afcc0f3de14ae798c16111b940d660","leaf":true,"name":"导入"},{"orgType":"capital:search","id":"11","parentId":"8","children":[],"pid":"0afb0c0d5f04497d81f2738984f4e8af","leaf":true,"name":"搜索"},{"orgType":"capital:download","id":"10","parentId":"8","children":[],"pid":"c4278189665a41ef93e9d66a9b3e505f","leaf":true,"name":"下载"}],"pid":"f2fc5945361b4b1f8b5fa744a3b2e647","leaf":false,"name":"资金流水"}],"sessionId":"8edf6f84-17d7-47ca-ac96-9278b97b3947","resultCode":"200","resultDesc":"成功"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根据用户id查询用户信息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</w:tbl>
    <w:p/>
    <w:p>
      <w:r>
        <w:rPr>
          <w:rFonts w:hint="eastAsia"/>
        </w:rPr>
        <w:t>例如：</w:t>
      </w:r>
    </w:p>
    <w:p>
      <w:r>
        <w:rPr>
          <w:rFonts w:hint="eastAsia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43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Total 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7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3182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Editor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Editor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66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资金流水表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</w:t>
            </w:r>
            <w:r>
              <w:rPr>
                <w:rFonts w:ascii="Times New Roman" w:hAnsi="Times New Roman" w:cs="Times New Roman"/>
                <w:szCs w:val="21"/>
              </w:rPr>
              <w:t>2018-01-02 00:00:00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t>资金流水上传文件URL</w:t>
      </w:r>
    </w:p>
    <w:p>
      <w:pPr>
        <w:pStyle w:val="1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1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代表成功   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caCheId:用于查看详情的id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rPr>
          <w:rFonts w:hint="eastAsia"/>
        </w:rPr>
        <w:t>返回对应栏位公司详情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</w:t>
      </w:r>
      <w:r>
        <w:rPr>
          <w:rFonts w:hint="eastAsia" w:ascii="Times New Roman" w:hAnsi="Times New Roman" w:cs="Times New Roman"/>
          <w:szCs w:val="21"/>
        </w:rPr>
        <w:t>staticInfo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通过前台传递过来key来查看相应公司列表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caCheUuid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缓存存储id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infoKey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对应表单标识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hint="eastAsia" w:ascii="Times New Roman" w:hAnsi="Times New Roman" w:cs="Times New Roman"/>
                <w:szCs w:val="21"/>
              </w:rPr>
              <w:t>公司名=公司对应数值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drawing>
                <wp:inline distT="0" distB="0" distL="114300" distR="114300">
                  <wp:extent cx="1666240" cy="326390"/>
                  <wp:effectExtent l="0" t="0" r="10160" b="165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ascii="Consolas" w:hAnsi="Consolas" w:eastAsia="宋体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这里的htmlType是2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生成html格式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</w:rPr>
        <w:t>损益/预算</w:t>
      </w:r>
      <w:r>
        <w:t>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是否导出成功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dataHtml:模板html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7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223CDC"/>
    <w:rsid w:val="003529F2"/>
    <w:rsid w:val="003578B8"/>
    <w:rsid w:val="00372C0E"/>
    <w:rsid w:val="003804A3"/>
    <w:rsid w:val="003E1DE1"/>
    <w:rsid w:val="00454C02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B71130"/>
    <w:rsid w:val="00C56148"/>
    <w:rsid w:val="00C91C85"/>
    <w:rsid w:val="00DD42F4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8C31BF"/>
    <w:rsid w:val="0B9C55F1"/>
    <w:rsid w:val="0C557080"/>
    <w:rsid w:val="0CDE6C7D"/>
    <w:rsid w:val="0F45390E"/>
    <w:rsid w:val="10387D1F"/>
    <w:rsid w:val="105B7CA0"/>
    <w:rsid w:val="1061411A"/>
    <w:rsid w:val="11DF0CAC"/>
    <w:rsid w:val="13E15DBF"/>
    <w:rsid w:val="14DA62B3"/>
    <w:rsid w:val="15693E61"/>
    <w:rsid w:val="17EE77DF"/>
    <w:rsid w:val="1ABD5866"/>
    <w:rsid w:val="1B1716D6"/>
    <w:rsid w:val="1F5C67A7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D2B1A1F"/>
    <w:rsid w:val="3EB3572E"/>
    <w:rsid w:val="3FA04976"/>
    <w:rsid w:val="40AA67DA"/>
    <w:rsid w:val="42BA743D"/>
    <w:rsid w:val="435A3116"/>
    <w:rsid w:val="43785257"/>
    <w:rsid w:val="44082F3D"/>
    <w:rsid w:val="4618296D"/>
    <w:rsid w:val="47D15A09"/>
    <w:rsid w:val="481F1F30"/>
    <w:rsid w:val="488A32B8"/>
    <w:rsid w:val="4BAE6B60"/>
    <w:rsid w:val="4BF6318E"/>
    <w:rsid w:val="4C5E4807"/>
    <w:rsid w:val="4D3A2061"/>
    <w:rsid w:val="4DA524BF"/>
    <w:rsid w:val="4F775335"/>
    <w:rsid w:val="50EA5F57"/>
    <w:rsid w:val="51F1640C"/>
    <w:rsid w:val="538F3965"/>
    <w:rsid w:val="53CC5AC3"/>
    <w:rsid w:val="53E80AD2"/>
    <w:rsid w:val="560A2A90"/>
    <w:rsid w:val="5696012D"/>
    <w:rsid w:val="585958D8"/>
    <w:rsid w:val="58BE6F48"/>
    <w:rsid w:val="59766AE2"/>
    <w:rsid w:val="5A6F6887"/>
    <w:rsid w:val="5ADD30F3"/>
    <w:rsid w:val="5B162373"/>
    <w:rsid w:val="5B743B91"/>
    <w:rsid w:val="5CB11383"/>
    <w:rsid w:val="5D6A3918"/>
    <w:rsid w:val="5F93231C"/>
    <w:rsid w:val="5FA276A1"/>
    <w:rsid w:val="60807E73"/>
    <w:rsid w:val="621F2017"/>
    <w:rsid w:val="62300D99"/>
    <w:rsid w:val="62AF6962"/>
    <w:rsid w:val="64C210FC"/>
    <w:rsid w:val="65D54B00"/>
    <w:rsid w:val="663655BE"/>
    <w:rsid w:val="66871048"/>
    <w:rsid w:val="674170ED"/>
    <w:rsid w:val="67DA73B9"/>
    <w:rsid w:val="699A0D54"/>
    <w:rsid w:val="6AC30739"/>
    <w:rsid w:val="6BA17442"/>
    <w:rsid w:val="6C3F71AA"/>
    <w:rsid w:val="6CAA282D"/>
    <w:rsid w:val="6CD60AFD"/>
    <w:rsid w:val="6F517B1C"/>
    <w:rsid w:val="723935D1"/>
    <w:rsid w:val="744D31B0"/>
    <w:rsid w:val="75BD1A20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Char"/>
    <w:basedOn w:val="9"/>
    <w:link w:val="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4">
    <w:name w:val="标题 4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5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7">
    <w:name w:val="批注框文本 Char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9150</Words>
  <Characters>21885</Characters>
  <Lines>182</Lines>
  <Paragraphs>61</Paragraphs>
  <TotalTime>21</TotalTime>
  <ScaleCrop>false</ScaleCrop>
  <LinksUpToDate>false</LinksUpToDate>
  <CharactersWithSpaces>30974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whg</cp:lastModifiedBy>
  <dcterms:modified xsi:type="dcterms:W3CDTF">2018-07-11T03:27:17Z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