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DAX Measures Reference Guide</w:t>
      </w:r>
    </w:p>
    <w:p>
      <w:pPr>
        <w:spacing w:after="40"/>
      </w:pPr>
      <w:r>
        <w:rPr>
          <w:rFonts w:ascii="Arial" w:cs="Arial" w:eastAsia="Arial" w:hAnsi="Arial"/>
          <w:color w:val="505050"/>
          <w:sz w:val="22"/>
          <w:szCs w:val="22"/>
        </w:rPr>
        <w:t xml:space="preserve">Every measure in your _Measures table — what it does, how it works, how to talk about it</w:t>
      </w:r>
    </w:p>
    <w:p>
      <w:pPr>
        <w:pBdr>
          <w:bottom w:val="single" w:color="2E75B6" w:sz="8" w:space="1"/>
        </w:pBdr>
        <w:spacing w:after="20"/>
      </w:pPr>
      <w:r>
        <w:rPr>
          <w:rFonts w:ascii="Arial" w:cs="Arial" w:eastAsia="Arial" w:hAnsi="Arial"/>
          <w:color w:val="505050"/>
          <w:sz w:val="20"/>
          <w:szCs w:val="20"/>
        </w:rPr>
        <w:t xml:space="preserve">Don Holbrook  ·  DFIN Interview Prep  ·  Power BI Dashboard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How to use this guide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Each measure card shows: the exact DAX formula you wrote, a plain English explanation of what it calculates, what the number is actually measuring conceptually, a healthy benchmark range, a common mistake to watch for, and a DFIN-specific note. Study these until you can explain each measure out loud without looking at the formula.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2E75B6" w:sz="8" w:space="1"/>
        </w:pBdr>
        <w:spacing w:after="8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DAX Functions Used in This Dashboard — Quick Reference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Before the individual measures, know these five DAX functions cold — they appear in almost every measure and understanding them makes the formulas readable at a glance.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7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CALCULATE()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Re-evaluates an expression in a modified filter context. The most important function in DAX — it's how you add conditions like 'only won deals' or 'only closed deals' to any calculation.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SUM()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Adds up all values in a column. Respects whatever filters are active on the visual or from slicers.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COUNTROWS()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Counts the number of rows in a table after filters are applied. Used here to count deals.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DIVIDE()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Divides two numbers safely — returns 0 (or a specified alternative) instead of an error when the denominator is zero. Always use DIVIDE() instead of / in DAX.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VAR / RETURN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Stores an intermediate calculation in a named variable (VAR) then uses it in the final result (RETURN). Makes complex measures readable by breaking them into named steps.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AVERAGE()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Averages all values in a column. Used for pre-aggregated tables like nrr_summary and cac_summary where one row = one quarter.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AVERAGEX()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Iterates over a table row by row, evaluates an expression for each row, then averages the results. More flexible than AVERAGE() when you need row-level context.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DISTINCTCOUNT()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Counts unique values in a column. Used to count how many different products an account has purchased.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LASTDATE()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the last date in the current filter context. Used to get a point-in-time snapshot of ARR rather than summing across all months.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F4E79"/>
                <w:sz w:val="18"/>
                <w:szCs w:val="18"/>
              </w:rPr>
              <w:t xml:space="preserve">FORMAT()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Converts a number to a formatted text string. Used in label measures to display percentages with clean formatting.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2E75B6" w:sz="8" w:space="1"/>
        </w:pBdr>
        <w:spacing w:after="8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1: Core Bookings &amp; Win Rate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 Bookings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  |   Core Bookings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DAX Formula: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Total Bookings =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CALCULATE(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SUM(opportunities[amount]),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opportunities[is_won] = TRUE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</w:t>
            </w:r>
          </w:p>
          <w:p>
            <w:pPr>
              <w:spacing w:after="50"/>
            </w:pPr>
            <w: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Plain English: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Sum of the deal amount field, but only for opportunities where is_won = TRUE.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Measures: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total dollar value of all closed-won deals in the current filter context. This is your primary revenue bookings number — not pipeline, not forecast, only actual closed business.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Healthy Range: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$40-45M across the full 2-year dataset. Filters to a single quarter when Fiscal Qtr slicer is active.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Watch Out For: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Confusing bookings with pipeline. Bookings = closed won only. If this number seems too high, check whether the is_won filter is actually being applied.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7647A"/>
                <w:sz w:val="19"/>
                <w:szCs w:val="19"/>
              </w:rPr>
              <w:t xml:space="preserve">DFIN Context: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This is the headline number on Page 1. In a real DFIN context, bookings would be split between new logo, renewal, and expansion — three meaningfully different signals about business health.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Win Rate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  |   Core Bookings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DAX Formula: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Win Rate =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VAR ClosedDeals = CALCULATE(COUNTROWS(opportunities), opportunities[is_closed] = TRUE)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VAR WonDeals   = CALCULATE(COUNTROWS(opportunities), opportunities[is_won] = TRUE)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RETURN DIVIDE(WonDeals, ClosedDeals, 0)</w:t>
            </w:r>
          </w:p>
          <w:p>
            <w:pPr>
              <w:spacing w:after="50"/>
            </w:pPr>
            <w: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Plain English: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Count of won deals divided by count of all closed deals (won + lost). Open deals are excluded.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Measures: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percentage of deals you actually win once they reach a decision. This is your sales efficiency ratio — how often does a deal that goes to a conclusion go your way?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Healthy Range: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25-40% for enterprise SaaS new logo. 60-80% for renewals. Overall blended ~37% in this dataset.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Watch Out For: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Including open deals in the denominator. An open deal has no outcome yet — including it artificially deflates win rate. Always filter to closed deals only.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7647A"/>
                <w:sz w:val="19"/>
                <w:szCs w:val="19"/>
              </w:rPr>
              <w:t xml:space="preserve">DFIN Context: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Win rate should be tracked separately for new logo vs. renewal vs. expansion at DFIN. The blended 37% mixes all three, which can hide a weak new logo motion behind strong renewals.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2E75B6" w:sz="8" w:space="1"/>
        </w:pBdr>
        <w:spacing w:after="8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2: Pipeline &amp; Deal Health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647A" w:sz="1"/>
              <w:left w:val="single" w:color="17647A" w:sz="1"/>
              <w:bottom w:val="single" w:color="17647A" w:sz="1"/>
              <w:right w:val="single" w:color="17647A" w:sz="1"/>
            </w:tcBorders>
            <w:shd w:fill="17647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Open Pipeline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  |   Pipeline &amp; Deal Health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DAX Formula: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Open Pipeline =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CALCULATE(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SUM(opportunities[amount]),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opportunities[is_closed] = FALSE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</w:t>
            </w:r>
          </w:p>
          <w:p>
            <w:pPr>
              <w:spacing w:after="50"/>
            </w:pPr>
            <w: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Plain English: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Sum of deal amounts where the deal is still open — not yet won or lost.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Measures: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total dollar value of deals currently in progress. This is your forward-looking revenue indicator — the raw material your forecast is built from.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Healthy Range: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$7-8M in the current dataset. In a real org, healthy open pipeline is typically 3-4x the remaining quota for the period.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Watch Out For: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Treating all pipeline as equally likely to close. A deal in Prospecting and a deal in Negotiation are both 'open' but have very different probabilities. Open Pipeline is the starting point, not the whole story.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7647A"/>
                <w:sz w:val="19"/>
                <w:szCs w:val="19"/>
              </w:rPr>
              <w:t xml:space="preserve">DFIN Context: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DFIN's three products have very different sales cycles — Venue deals close in ~35 days while Arc Suite takes ~90 days. A blended pipeline number obscures this. Ideally track open pipeline separately by division.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647A" w:sz="1"/>
              <w:left w:val="single" w:color="17647A" w:sz="1"/>
              <w:bottom w:val="single" w:color="17647A" w:sz="1"/>
              <w:right w:val="single" w:color="17647A" w:sz="1"/>
            </w:tcBorders>
            <w:shd w:fill="17647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Pipeline Coverage Ratio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  |   Pipeline &amp; Deal Health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DAX Formula: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Pipeline Coverage Ratio =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DIVIDE([Open Pipeline], [Total Bookings], 0)</w:t>
            </w:r>
          </w:p>
          <w:p>
            <w:pPr>
              <w:spacing w:after="50"/>
            </w:pPr>
            <w: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Plain English: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Open pipeline divided by total bookings. Tells you how many dollars of pipeline exist for every dollar already closed.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Measures: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rough proxy for how well-stocked the funnel is relative to what's already been won. A ratio above 3 means you have healthy forward coverage; below 3 suggests pipeline generation needs attention.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Healthy Range: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3x-4x is standard for a healthy enterprise SaaS pipeline.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Watch Out For: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This measure divides by Total Bookings, which includes all historical closed deals — in a real dashboard you'd want to divide by remaining quota for the current period, not all-time bookings. This is a simplified version.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7647A"/>
                <w:sz w:val="19"/>
                <w:szCs w:val="19"/>
              </w:rPr>
              <w:t xml:space="preserve">DFIN Context: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Because Venue has a much shorter sales cycle than ActiveDisclosure, it needs less forward pipeline to be confident about the quarter. A single blended coverage ratio can be misleading across all three products.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647A" w:sz="1"/>
              <w:left w:val="single" w:color="17647A" w:sz="1"/>
              <w:bottom w:val="single" w:color="17647A" w:sz="1"/>
              <w:right w:val="single" w:color="17647A" w:sz="1"/>
            </w:tcBorders>
            <w:shd w:fill="17647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Stalled Deals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  |   Pipeline &amp; Deal Health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DAX Formula: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Stalled Deals =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CALCULATE(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COUNTROWS(opportunities),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opportunities[is_stalled] = TRUE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</w:t>
            </w:r>
          </w:p>
          <w:p>
            <w:pPr>
              <w:spacing w:after="50"/>
            </w:pPr>
            <w: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Plain English: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Count of open deals flagged as stalled in the dataset.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Measures: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number of in-flight deals that have been open significantly longer than expected for their stage and product, suggesting they are stuck and at risk of dying or being lost.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Healthy Range: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10-15% of open pipeline being stalled is within normal range. Above 20% suggests a systemic issue — either pipeline quality, deal execution, or pricing friction.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Watch Out For: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Stalled is a flag based on time thresholds in this dataset. In a real Salesforce environment you'd base this on last activity date, number of close date pushes, and days in current stage — more precise signals than elapsed time alone.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7647A"/>
                <w:sz w:val="19"/>
                <w:szCs w:val="19"/>
              </w:rPr>
              <w:t xml:space="preserve">DFIN Context: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15 stalled deals totaling ~$862K in the dataset. In the interview, the talking point is: this table is the most actionable output of a pipeline review — each row is a specific conversation a sales manager needs to have with a rep.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647A" w:sz="1"/>
              <w:left w:val="single" w:color="17647A" w:sz="1"/>
              <w:bottom w:val="single" w:color="17647A" w:sz="1"/>
              <w:right w:val="single" w:color="17647A" w:sz="1"/>
            </w:tcBorders>
            <w:shd w:fill="17647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Avg Sales Cycle Days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  |   Pipeline &amp; Deal Health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DAX Formula: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Avg Sales Cycle Days =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CALCULATE(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AVERAGE(opportunities[sales_cycle_days_actual]),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opportunities[is_won] = TRUE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</w:t>
            </w:r>
          </w:p>
          <w:p>
            <w:pPr>
              <w:spacing w:after="50"/>
            </w:pPr>
            <w: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Plain English: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Average number of days from deal creation to close, for won deals only.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Measures: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long it typically takes to close a deal from first contact to signed contract. A leading indicator of sales efficiency — shortening the cycle means more deals per rep per year.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Healthy Range: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ActiveDisclosure: ~75 days. Venue: ~35 days. Arc Suite: ~90 days. These differ significantly by product.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Watch Out For: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Including lost deals in the average. Lost deals often have artificially long cycles because they drag on before dying. Filter to won deals only for a clean efficiency benchmark.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7647A"/>
                <w:sz w:val="19"/>
                <w:szCs w:val="19"/>
              </w:rPr>
              <w:t xml:space="preserve">DFIN Context: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Sales cycle length is directly relevant to pipeline coverage requirements and forecasting methodology. A new CRO inheriting a 90-day Arc Suite cycle needs to know deals being worked today won't close until next quarter.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2E75B6" w:sz="8" w:space="1"/>
        </w:pBdr>
        <w:spacing w:after="8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3: Forecast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Forecast Variance %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  |   Forecast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DAX Formula: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Forecast Variance % =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AVERAGE(forecast_accuracy[variance_pct])</w:t>
            </w:r>
          </w:p>
          <w:p>
            <w:pPr>
              <w:spacing w:after="50"/>
            </w:pPr>
            <w: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Plain English: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Average of the pre-calculated variance percentage column in the forecast_accuracy table.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Measures: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far off the forecast was from actual results, expressed as a percentage. Positive = came in above forecast (beat), negative = came in below forecast (missed).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Healthy Range: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Within +/-10% is good. Within +/-5% is world-class. Consistently negative variance means forecasts are systematically optimistic.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Watch Out For: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This is an AVERAGE of quarterly variance percentages — it treats every quarter equally regardless of size. A better measure would weight by deal volume. For interview purposes the current version is sufficient.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7647A"/>
                <w:sz w:val="19"/>
                <w:szCs w:val="19"/>
              </w:rPr>
              <w:t xml:space="preserve">DFIN Context: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Forecast accuracy is the single most cited Sales Ops failure mode. The DFIN dataset shows variance by division — Venue is inherently harder to forecast (event-driven deal market) than ActiveDisclosure (renewal-driven). Separate models by product is the right answer.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2E75B6" w:sz="8" w:space="1"/>
        </w:pBdr>
        <w:spacing w:after="8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4: SaaS Metrics — ARR &amp; ARPU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1"/>
              <w:left w:val="single" w:color="1D6A3A" w:sz="1"/>
              <w:bottom w:val="single" w:color="1D6A3A" w:sz="1"/>
              <w:right w:val="single" w:color="1D6A3A" w:sz="1"/>
            </w:tcBorders>
            <w:shd w:fill="1D6A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Total ARR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  |   SaaS — ARR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DAX Formula: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Total ARR =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CALCULATE(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SUM(arpu_arr_monthly[total_arr]),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LASTDATE(date_dim[date])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</w:t>
            </w:r>
          </w:p>
          <w:p>
            <w:pPr>
              <w:spacing w:after="50"/>
            </w:pPr>
            <w: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Plain English: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Sum of annualized recurring revenue from the monthly snapshot table, filtered to the most recent date in context.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Measures: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total value of all active subscription contracts annualized. The foundational SaaS revenue metric — what the business can count on recurringly if nothing changes.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Healthy Range: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Growing ARR trend month over month indicates healthy new logo and expansion motion. Watch for the trend line, not just the point-in-time number.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Watch Out For: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LASTDATE() gives you a point-in-time snapshot. Without it, SUM() would add up ARR across all months — which is meaningless (you'd be summing the same contracts 24 times).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7647A"/>
                <w:sz w:val="19"/>
                <w:szCs w:val="19"/>
              </w:rPr>
              <w:t xml:space="preserve">DFIN Context: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Only applies to ActiveDisclosure and Arc Suite in DFIN's model. Venue is transactional — including it in ARR would overstate predictable recurring revenue. The arpu_arr_monthly table only contains recurring product data for this reason.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1"/>
              <w:left w:val="single" w:color="1D6A3A" w:sz="1"/>
              <w:bottom w:val="single" w:color="1D6A3A" w:sz="1"/>
              <w:right w:val="single" w:color="1D6A3A" w:sz="1"/>
            </w:tcBorders>
            <w:shd w:fill="1D6A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Active Customers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  |   SaaS — ARR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DAX Formula: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Active Customers =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CALCULATE(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SUM(arpu_arr_monthly[active_customers]),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LASTDATE(date_dim[date])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</w:t>
            </w:r>
          </w:p>
          <w:p>
            <w:pPr>
              <w:spacing w:after="50"/>
            </w:pPr>
            <w: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Plain English: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Count of active subscription customers as of the most recent date in the current filter context.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Measures: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many customers are currently paying for a recurring subscription. Combined with ARR, this is the denominator for ARPU.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Healthy Range: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Growing customer count + growing ARR = healthy top-line growth. Growing ARR with flat or declining customer count = successful upsell motion (fewer but more valuable customers).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Watch Out For: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Same LASTDATE() logic as Total ARR — without it you'd sum customer counts across all months and get a meaningless inflated number.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7647A"/>
                <w:sz w:val="19"/>
                <w:szCs w:val="19"/>
              </w:rPr>
              <w:t xml:space="preserve">DFIN Context: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Active customer count for recurring products only. As of June 2026 in the dataset: ~123 ActiveDisclosure customers, ~57 Arc Suite customers. Venue engagement is tracked separately as re-engagement rate, not subscription count.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1"/>
              <w:left w:val="single" w:color="1D6A3A" w:sz="1"/>
              <w:bottom w:val="single" w:color="1D6A3A" w:sz="1"/>
              <w:right w:val="single" w:color="1D6A3A" w:sz="1"/>
            </w:tcBorders>
            <w:shd w:fill="1D6A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ARPU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  |   SaaS — ARR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DAX Formula: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ARPU =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DIVIDE([Total ARR], [Active Customers], 0)</w:t>
            </w:r>
          </w:p>
          <w:p>
            <w:pPr>
              <w:spacing w:after="50"/>
            </w:pPr>
            <w: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Plain English: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Total ARR divided by active customer count. Average revenue per account.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Measures: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much each customer is worth on average annually. A rising ARPU trend means customers are buying more over time — the land-and-expand motion is working.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Healthy Range: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ActiveDisclosure ARPU ~$72K in the dataset. Rising ARPU over time is a positive signal. Flat or declining ARPU with growing customer count suggests you're adding smaller customers — a mix-shift worth watching.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Watch Out For: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ARPU blends large and small customers into one average. A single large enterprise renewal can spike ARPU meaningfully. Always look at ARPU trend alongside customer count trend.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7647A"/>
                <w:sz w:val="19"/>
                <w:szCs w:val="19"/>
              </w:rPr>
              <w:t xml:space="preserve">DFIN Context: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Track ARPU separately by division — ActiveDisclosure and Arc Suite have different natural deal sizes. Blending them produces a number that's not actionable for either sales team.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2E75B6" w:sz="8" w:space="1"/>
        </w:pBdr>
        <w:spacing w:after="8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5: SaaS Metrics — NRR &amp; GRR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1"/>
              <w:left w:val="single" w:color="1D6A3A" w:sz="1"/>
              <w:bottom w:val="single" w:color="1D6A3A" w:sz="1"/>
              <w:right w:val="single" w:color="1D6A3A" w:sz="1"/>
            </w:tcBorders>
            <w:shd w:fill="1D6A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NRR %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  |   SaaS — NRR/GRR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DAX Formula: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NRR % =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AVERAGE(nrr_summary[nrr_pct]) / 100</w:t>
            </w:r>
          </w:p>
          <w:p>
            <w:pPr>
              <w:spacing w:after="50"/>
            </w:pPr>
            <w: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Plain English: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Average of the pre-calculated NRR percentage from the quarterly summary table, divided by 100 so Power BI formats it correctly as a percentage.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Measures: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Net Revenue Retention — what percentage of last period's ARR is retained this period after accounting for expansion, contraction, and churn. Above 100% means existing customers are worth more than they were — the base is growing without new sales.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Healthy Range: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World-class: 120%+. Healthy: 105-120%. Concerning: below 100% (existing base is shrinking). DFIN recurring products running ~99% in the dataset — slightly below 100% due to small churn.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Watch Out For: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The /100 division is a display fix — nrr_summary stores NRR as 99.1 (meaning 99.1%) not 0.991. Without dividing by 100, Power BI's percentage formatting would show 9,910%. If you ever see a wildly inflated percentage, this is almost always the cause.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7647A"/>
                <w:sz w:val="19"/>
                <w:szCs w:val="19"/>
              </w:rPr>
              <w:t xml:space="preserve">DFIN Context: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NRR is DFIN's most important SaaS health indicator for ActiveDisclosure and Arc Suite. ~99% NRR reflects structural stickiness — SEC filing is a legal mandate. The risk isn't whether customers file; it's whether they file with DFIN vs. Workiva.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A3A" w:sz="1"/>
              <w:left w:val="single" w:color="1D6A3A" w:sz="1"/>
              <w:bottom w:val="single" w:color="1D6A3A" w:sz="1"/>
              <w:right w:val="single" w:color="1D6A3A" w:sz="1"/>
            </w:tcBorders>
            <w:shd w:fill="1D6A3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GRR %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  |   SaaS — NRR/GRR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D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DAX Formula: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GRR % =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AVERAGE(nrr_summary[grr_pct]) / 100</w:t>
            </w:r>
          </w:p>
          <w:p>
            <w:pPr>
              <w:spacing w:after="50"/>
            </w:pPr>
            <w: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Plain English: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Average of the pre-calculated GRR percentage, divided by 100 for correct percentage display.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Measures: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Gross Revenue Retention — same as NRR but excludes expansion revenue. Shows pure retention health before any upsell credit. GRR is always at or below 100%.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Healthy Range: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Best-in-class enterprise SaaS: above 90%. GRR in the dataset ~98-99% — very healthy, reflecting the low churn of compliance-driven recurring products.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Watch Out For: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NRR can mask weak retention if expansion is strong. Always check GRR alongside NRR. A company with 110% NRR but 75% GRR is growing through heroic upsell while quietly losing a quarter of its base every year — an unsustainable pattern.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7647A"/>
                <w:sz w:val="19"/>
                <w:szCs w:val="19"/>
              </w:rPr>
              <w:t xml:space="preserve">DFIN Context: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For DFIN, GRR close to NRR (both ~99%) means there isn't much expansion happening yet in the dataset — customers are renewing but not significantly upgrading. This is the white space opportunity the cross-division page is designed to address.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2E75B6" w:sz="8" w:space="1"/>
        </w:pBdr>
        <w:spacing w:after="8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6: SaaS Metrics — CAC, LTV &amp; Payback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CAC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  |   SaaS — CAC/LTV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DAX Formula: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CAC =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AVERAGE(cac_summary[cac])</w:t>
            </w:r>
          </w:p>
          <w:p>
            <w:pPr>
              <w:spacing w:after="50"/>
            </w:pPr>
            <w: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Plain English: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Average of the pre-calculated Customer Acquisition Cost from the quarterly summary table.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Measures: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much it costs on average to acquire one new customer, calculated as trailing-12-month sales and marketing spend divided by new logos acquired in that period.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Healthy Range: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Highly variable by product. ActiveDisclosure: ~$19K. Arc Suite: ~$26-32K (longer cycle, fewer deals). Venue: ~$3.5K (high volume, fast close).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Watch Out For: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CAC is meaningless without context — it must be evaluated against LTV and payback period. A $50K CAC is fine if LTV is $500K. A $5K CAC is terrible if customers churn after 3 months.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7647A"/>
                <w:sz w:val="19"/>
                <w:szCs w:val="19"/>
              </w:rPr>
              <w:t xml:space="preserve">DFIN Context: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Calculated on a trailing-12-month basis in this dataset — the methodologically correct approach because quarterly CAC fluctuates too much when deal counts are small. Worth mentioning if asked: 'I used T12M to smooth out quarterly volatility in new logo counts.'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LTV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  |   SaaS — CAC/LTV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DAX Formula: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LTV =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AVERAGE(cac_summary[ltv])</w:t>
            </w:r>
          </w:p>
          <w:p>
            <w:pPr>
              <w:spacing w:after="50"/>
            </w:pPr>
            <w: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Plain English: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Average of the pre-calculated Lifetime Value from the quarterly summary table.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Measures: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total gross margin value expected from a customer over their entire relationship. Calculated as ARPU × Gross Margin % ÷ Annual Churn Rate.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Healthy Range: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ActiveDisclosure LTV ~$719K (high retention + good margin). Arc Suite LTV ~$700K. Venue LTV ~$65K (shorter relationship, transactional re-engagement model).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Watch Out For: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LTV is a model built on assumptions about churn rate, margin, and lifespan — all of which can be wrong. Treat it as a directional framework for investment decisions, not a precise forecast.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7647A"/>
                <w:sz w:val="19"/>
                <w:szCs w:val="19"/>
              </w:rPr>
              <w:t xml:space="preserve">DFIN Context: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LTV is where DFIN's compliance-driven stickiness really shows up. A 7% annual churn rate for ActiveDisclosure implies an average customer lifespan of ~14 years — which is a long time for a software relationship and produces very high LTV relative to CAC.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LTV CAC Ratio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  |   SaaS — CAC/LTV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DAX Formula: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LTV CAC Ratio =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AVERAGE(cac_summary[ltv_cac_ratio])</w:t>
            </w:r>
          </w:p>
          <w:p>
            <w:pPr>
              <w:spacing w:after="50"/>
            </w:pPr>
            <w: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Plain English: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Average of the pre-calculated LTV:CAC ratio. LTV divided by CAC.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Measures: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How many dollars of lifetime value you get back for every dollar spent acquiring a customer. The primary efficiency ratio for evaluating whether your sales and marketing investment is justified.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Healthy Range: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Above 3:1 = healthy. Above 5:1 = strong. In this dataset: ActiveDisclosure ~38:1, Arc Suite ~22:1, Venue ~19:1. All well above the 3:1 minimum.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Watch Out For: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Ratios above 10:1 can actually signal underinvestment — you may be leaving growth on the table by not spending more to acquire customers who are this valuable. The goal isn't to maximize LTV:CAC; it's to find the right investment level.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7647A"/>
                <w:sz w:val="19"/>
                <w:szCs w:val="19"/>
              </w:rPr>
              <w:t xml:space="preserve">DFIN Context: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These ratios are high because DFIN's churn is structurally low (compliance mandate) and LTV is therefore very large. In the interview: 'The high LTV:CAC ratios suggest DFIN's sales investment is highly efficient — the opportunity is to invest more in growth, not cut costs.'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1"/>
              <w:left w:val="single" w:color="8B0000" w:sz="1"/>
              <w:bottom w:val="single" w:color="8B0000" w:sz="1"/>
              <w:right w:val="single" w:color="8B0000" w:sz="1"/>
            </w:tcBorders>
            <w:shd w:fill="8B000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CAC Payback Months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  |   SaaS — CAC/LTV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AD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DAX Formula: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CAC Payback Months =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AVERAGE(cac_summary[cac_payback_months])</w:t>
            </w:r>
          </w:p>
          <w:p>
            <w:pPr>
              <w:spacing w:after="50"/>
            </w:pPr>
            <w: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Plain English: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Average of the pre-calculated CAC payback period. How many months of gross margin it takes to recoup the cost of acquiring a customer.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Measures: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most operationally useful acquisition efficiency metric because it maps to cash flow timing. Tells you how long before a new customer starts generating profit rather than consuming the acquisition investment.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Healthy Range: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Best-in-class enterprise SaaS: under 18 months. In the dataset: Venue ~1.6 months (fast transactional deals), ActiveDisclosure ~4.6 months, Arc Suite ~9 months.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Watch Out For: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Long payback combined with high churn is a dangerous combination — you never recoup the acquisition cost before the customer leaves. In DFIN's case payback is short and churn is low, so the economics are sound.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7647A"/>
                <w:sz w:val="19"/>
                <w:szCs w:val="19"/>
              </w:rPr>
              <w:t xml:space="preserve">DFIN Context: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CAC Payback Period is the metric a new CRO typically focuses on first because it's the most direct link between sales spending and cash generation. Being able to say 'our average payback is under 5 months for ActiveDisclosure' is a compelling efficiency story.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2E75B6" w:sz="8" w:space="1"/>
        </w:pBdr>
        <w:spacing w:after="8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Section 7: Cross-Division Efficiency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Cross Division Win Rate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  |   Cross-Division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DAX Formula: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Cross Division Win Rate =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VAR CrossClosed =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CALCULATE(COUNTROWS(opportunities),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opportunities[is_cross_division_deal] = TRUE,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opportunities[is_closed] = TRUE)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VAR CrossWon =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CALCULATE(COUNTROWS(opportunities),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opportunities[is_cross_division_deal] = TRUE,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opportunities[is_won] = TRUE)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RETURN DIVIDE(CrossWon, CrossClosed, 0)</w:t>
            </w:r>
          </w:p>
          <w:p>
            <w:pPr>
              <w:spacing w:after="50"/>
            </w:pPr>
            <w: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Plain English: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Win rate calculated only for deals flagged as cross-division — where an overlay rep or coordinated team was involved. Same logic as overall Win Rate but filtered to cross-division deals only.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Measures: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Whether deals involving cross-divisional collaboration close at a higher rate than single-division deals. The key metric for making the case for a structured account teaming model.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Healthy Range: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~48.9% in the dataset vs. 36.3% for single-division deals — a 12-point lift from cross-division collaboration.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Watch Out For: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Correlation is not causation. Cross-division deals may win at higher rates partly because they tend to be larger, more strategic accounts that multiple reps prioritized — not purely because of the collaboration itself. Acknowledge this if asked.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7647A"/>
                <w:sz w:val="19"/>
                <w:szCs w:val="19"/>
              </w:rPr>
              <w:t xml:space="preserve">DFIN Context: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This is the strategic centerpiece of your Page 4 argument. The 12-point win rate lift is your quantified case for why a structured named-account model with split-credit rules would improve overall GTM efficiency — a directly actionable recommendation for a new CRO.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Single Division Win Rate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  |   Cross-Division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DAX Formula: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Single Division Win Rate =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VAR SingleClosed =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CALCULATE(COUNTROWS(opportunities),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opportunities[is_cross_division_deal] = FALSE,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opportunities[is_closed] = TRUE)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VAR SingleWon =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CALCULATE(COUNTROWS(opportunities),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opportunities[is_cross_division_deal] = FALSE,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    opportunities[is_won] = TRUE)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RETURN DIVIDE(SingleWon, SingleClosed, 0)</w:t>
            </w:r>
          </w:p>
          <w:p>
            <w:pPr>
              <w:spacing w:after="50"/>
            </w:pPr>
            <w: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Plain English: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Win rate for deals where only one division's rep was involved — no cross-division collaboration. The comparison baseline for the Cross Division Win Rate metric.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Measures: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baseline win rate when each product division sells independently without coordination. Used as the benchmark to show what cross-division collaboration improves upon.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Healthy Range: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~36.3% in the dataset. This is the number you're trying to lift through a structured account teaming model.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Watch Out For: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This is the mirror measure of Cross Division Win Rate — they should always be shown together. One number without the other has no context.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7647A"/>
                <w:sz w:val="19"/>
                <w:szCs w:val="19"/>
              </w:rPr>
              <w:t xml:space="preserve">DFIN Context: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36.3% is a reasonable enterprise SaaS win rate on its own. The strategic question isn't whether it's good or bad in isolation — it's whether structured collaboration can move it toward the 48.9% cross-division rate at scale.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Products Per Account</w:t>
            </w:r>
            <w:r>
              <w:rPr>
                <w:rFonts w:ascii="Arial" w:cs="Arial" w:eastAsia="Arial" w:hAnsi="Arial"/>
                <w:color w:val="DDDDDD"/>
                <w:sz w:val="18"/>
                <w:szCs w:val="18"/>
              </w:rPr>
              <w:t xml:space="preserve">   |   Cross-Division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DAX Formula: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Products Per Account =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CALCULATE(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DISTINCTCOUNT(opportunities[division]),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    opportunities[is_won] = TRUE</w:t>
            </w:r>
          </w:p>
          <w:p>
            <w:pPr>
              <w:spacing w:after="16"/>
            </w:pPr>
            <w:r>
              <w:rPr>
                <w:rFonts w:ascii="Consolas" w:cs="Consolas" w:eastAsia="Consolas" w:hAnsi="Consolas"/>
                <w:color w:val="1A1A1A"/>
                <w:sz w:val="17"/>
                <w:szCs w:val="17"/>
              </w:rPr>
              <w:t xml:space="preserve">)</w:t>
            </w:r>
          </w:p>
          <w:p>
            <w:pPr>
              <w:spacing w:after="50"/>
            </w:pPr>
            <w:r>
              <w:t xml:space="preserve"/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Plain English: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Count of distinct product divisions with a closed-won deal for each account. Shows how many of DFIN's three products a given account has purchased.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What It Measures: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white space metric — how deeply DFIN has penetrated each account across its product portfolio. Accounts at 1.0 have only bought one product; accounts at 2.0+ have bought multiple.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1D6A3A"/>
                <w:sz w:val="19"/>
                <w:szCs w:val="19"/>
              </w:rPr>
              <w:t xml:space="preserve">Healthy Range: 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Large Cap Public and Mid Cap Public accounts should trend toward 2.0+ (natural fit for both ActiveDisclosure and Venue). Fund/Asset Manager accounts near 1.0 is expected (Arc Suite only). Any multi-fit segment near 1.0 is an expansion opportunity.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Watch Out For: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DISTINCTCOUNT counts unique division names in won opportunities. If the same account has two won deals in the same division, it still counts as 1 — correctly treating it as one product relationship.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b/>
                <w:bCs/>
                <w:color w:val="17647A"/>
                <w:sz w:val="19"/>
                <w:szCs w:val="19"/>
              </w:rPr>
              <w:t xml:space="preserve">DFIN Context:  </w:t>
            </w: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This measure powers the Expansion Targets table on Page 4. In a real Salesforce environment this would be built as an account-level field and maintained by the Sales Ops team as a live whitespace tracker — updated after every new won deal.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2E75B6" w:sz="8" w:space="1"/>
        </w:pBdr>
        <w:spacing w:after="8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How to Talk About These Measures in the Interview</w:t>
      </w:r>
    </w:p>
    <w:p>
      <w:pPr>
        <w:spacing w:after="9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Three principles for discussing your DAX measures confidently: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sz w:val="20"/>
          <w:szCs w:val="20"/>
        </w:rPr>
        <w:t xml:space="preserve">Lead with the business question, not the formula. Don't say 'I used CALCULATE with a TRUE filter on is_won.' Say 'I wanted to isolate closed-won revenue from pipeline and open deals, so I wrote a measure that filters to won deals only.' The formula is the implementation; the business question is what matters.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sz w:val="20"/>
          <w:szCs w:val="20"/>
        </w:rPr>
        <w:t xml:space="preserve">Acknowledge the simplifications honestly. Several measures use pre-aggregated summary tables rather than row-level calculations — that's a deliberate modeling choice for performance and clarity, not a gap. If asked: 'For the CAC and NRR metrics I used quarterly summary tables pre-aggregated during data prep, which is how you'd typically receive this data from a finance or BI team in practice.'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Arial" w:cs="Arial" w:eastAsia="Arial" w:hAnsi="Arial"/>
          <w:sz w:val="20"/>
          <w:szCs w:val="20"/>
        </w:rPr>
        <w:t xml:space="preserve">Know what a wrong number looks like. For every measure, have a sanity check in mind. Win Rate should be between 0 and 1. NRR should be near 100% for a sticky SaaS product. CAC Payback in months should be a single or low double-digit number. If any of these look wildly off, your first instinct should be to check whether a percentage column is being treated as a decimal — that's the most common data type error in Power BI.</w:t>
      </w:r>
    </w:p>
    <w:p>
      <w:pPr>
        <w:spacing w:after="60"/>
      </w:pPr>
      <w:r>
        <w:t xml:space="preserve"/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2026-07-04T19:23:01.635Z</dcterms:created>
  <dcterms:modified xsi:type="dcterms:W3CDTF">2026-07-04T19:23:01.647Z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