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932BA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Индивидуальная карта анализа научной статьи и определения КПД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Студент ОП: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Информационные Системы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252 (3)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ФИ: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Ведерников Дмитрий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703"/>
        <w:gridCol w:w="3429"/>
        <w:gridCol w:w="1723"/>
        <w:gridCol w:w="1024"/>
      </w:tblGrid>
      <w:tr w14:paraId="2AA5A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7C76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28" w:type="dxa"/>
          </w:tcPr>
          <w:p w14:paraId="44A4FF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Пункты анализа</w:t>
            </w:r>
          </w:p>
        </w:tc>
        <w:tc>
          <w:tcPr>
            <w:tcW w:w="1728" w:type="dxa"/>
          </w:tcPr>
          <w:p w14:paraId="31ED8D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1728" w:type="dxa"/>
          </w:tcPr>
          <w:p w14:paraId="64EAC4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1728" w:type="dxa"/>
          </w:tcPr>
          <w:p w14:paraId="749653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%</w:t>
            </w:r>
          </w:p>
        </w:tc>
      </w:tr>
      <w:tr w14:paraId="7D45E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8F26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5E345F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728" w:type="dxa"/>
          </w:tcPr>
          <w:p w14:paraId="0A6C76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Раюшкин В.К. Национальные подходы Республики Казахстан к регламентации и внедрению в гражданский оборот технологии больших данных (Big Data) в условиях цифровизации // Сборник материалов 60-й научной конференции аспирантов, магистрантов и студентов. – Минск: Национальный центр законодательства и правовых исследований РБ, 2023. – С. 148.</w:t>
            </w:r>
          </w:p>
        </w:tc>
        <w:tc>
          <w:tcPr>
            <w:tcW w:w="1728" w:type="dxa"/>
          </w:tcPr>
          <w:p w14:paraId="64308A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Автор – сотрудник НЦЗПИ РБ, есть научный руководитель (к.ю.н.,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оцент).</w:t>
            </w:r>
          </w:p>
        </w:tc>
        <w:tc>
          <w:tcPr>
            <w:tcW w:w="1728" w:type="dxa"/>
          </w:tcPr>
          <w:p w14:paraId="4E9D0D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5115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168C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150E6C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Аннотация</w:t>
            </w:r>
          </w:p>
        </w:tc>
        <w:tc>
          <w:tcPr>
            <w:tcW w:w="1728" w:type="dxa"/>
          </w:tcPr>
          <w:p w14:paraId="3C15A8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Кратко указана цель статьи – анализ правовой регламентации использования Big Data в Республике Казахстан. Определены сферы применения (управление, экономика, социальные отношения). Выделено наличие программных актов и необходимость нормативных актов специального характера. Формулировки ясные, но достаточно общие.</w:t>
            </w:r>
          </w:p>
        </w:tc>
        <w:tc>
          <w:tcPr>
            <w:tcW w:w="1728" w:type="dxa"/>
          </w:tcPr>
          <w:p w14:paraId="746B0F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Соответствует стандартам, но объём минимальный.</w:t>
            </w:r>
          </w:p>
        </w:tc>
        <w:tc>
          <w:tcPr>
            <w:tcW w:w="1728" w:type="dxa"/>
          </w:tcPr>
          <w:p w14:paraId="043C84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4835C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8B95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62EF6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Ключевые слова</w:t>
            </w:r>
          </w:p>
        </w:tc>
        <w:tc>
          <w:tcPr>
            <w:tcW w:w="1728" w:type="dxa"/>
          </w:tcPr>
          <w:p w14:paraId="73C16A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Большие данные, цифровизация, большие массивы данных, цифровые технологии.</w:t>
            </w:r>
          </w:p>
        </w:tc>
        <w:tc>
          <w:tcPr>
            <w:tcW w:w="1728" w:type="dxa"/>
          </w:tcPr>
          <w:p w14:paraId="0FB14A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Опорные термины подобраны корректно, но список минимален (4 слова).</w:t>
            </w:r>
          </w:p>
        </w:tc>
        <w:tc>
          <w:tcPr>
            <w:tcW w:w="1728" w:type="dxa"/>
          </w:tcPr>
          <w:p w14:paraId="028045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348CD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F294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4AA53B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Актуальность</w:t>
            </w:r>
          </w:p>
        </w:tc>
        <w:tc>
          <w:tcPr>
            <w:tcW w:w="1728" w:type="dxa"/>
          </w:tcPr>
          <w:p w14:paraId="5D0506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Актуальность обоснована через значение цифровизации и Big Data для экономики и госуправления Казахстана. Автор показывает, что тема является частью глобального тренда (Industry 4.0) и связана с национальной стратегией до 2025 г. Подчёркивается необходимость правового регулирования.</w:t>
            </w:r>
          </w:p>
        </w:tc>
        <w:tc>
          <w:tcPr>
            <w:tcW w:w="1728" w:type="dxa"/>
          </w:tcPr>
          <w:p w14:paraId="024FA1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Актуальность раскрыта достаточно полно.</w:t>
            </w:r>
          </w:p>
        </w:tc>
        <w:tc>
          <w:tcPr>
            <w:tcW w:w="1728" w:type="dxa"/>
          </w:tcPr>
          <w:p w14:paraId="5691F6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</w:tr>
      <w:tr w14:paraId="2A7C8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F860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0C2E06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1728" w:type="dxa"/>
          </w:tcPr>
          <w:p w14:paraId="457142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Цель – анализ правовой регламентации внедрения технологий Big Data в Казахстане и выявление необходимости специальных нормативных актов.</w:t>
            </w:r>
          </w:p>
        </w:tc>
        <w:tc>
          <w:tcPr>
            <w:tcW w:w="1728" w:type="dxa"/>
          </w:tcPr>
          <w:p w14:paraId="5415BF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Формулировка чёткая.</w:t>
            </w:r>
          </w:p>
        </w:tc>
        <w:tc>
          <w:tcPr>
            <w:tcW w:w="1728" w:type="dxa"/>
          </w:tcPr>
          <w:p w14:paraId="260D68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4D91A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BBAB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1A77B2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1728" w:type="dxa"/>
          </w:tcPr>
          <w:p w14:paraId="26CE0A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Определить текущее состояние нормативной базы; выявить ключевые направления развития (образование, здравоохранение, госуправление); показать пробелы в правовом регулировании.</w:t>
            </w:r>
          </w:p>
        </w:tc>
        <w:tc>
          <w:tcPr>
            <w:tcW w:w="1728" w:type="dxa"/>
          </w:tcPr>
          <w:p w14:paraId="108C1D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Задачи логично следуют из цели.</w:t>
            </w:r>
          </w:p>
        </w:tc>
        <w:tc>
          <w:tcPr>
            <w:tcW w:w="1728" w:type="dxa"/>
          </w:tcPr>
          <w:p w14:paraId="53E10A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075D3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2D02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14:paraId="7F3C20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1728" w:type="dxa"/>
          </w:tcPr>
          <w:p w14:paraId="163CC1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Правовое регулирование цифровых технологий и Big Data в Республике Казахстан.</w:t>
            </w:r>
          </w:p>
        </w:tc>
        <w:tc>
          <w:tcPr>
            <w:tcW w:w="1728" w:type="dxa"/>
          </w:tcPr>
          <w:p w14:paraId="2B7E2B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Объект дан в широком смысле.</w:t>
            </w:r>
          </w:p>
        </w:tc>
        <w:tc>
          <w:tcPr>
            <w:tcW w:w="1728" w:type="dxa"/>
          </w:tcPr>
          <w:p w14:paraId="4B72D4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449AC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6188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14:paraId="1E3AE8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728" w:type="dxa"/>
          </w:tcPr>
          <w:p w14:paraId="5A067D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Конкретные нормативные акты и национальные программы, регулирующие использование Big Data.</w:t>
            </w:r>
          </w:p>
        </w:tc>
        <w:tc>
          <w:tcPr>
            <w:tcW w:w="1728" w:type="dxa"/>
          </w:tcPr>
          <w:p w14:paraId="0A89F0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Предмет достаточно узко очерчен.</w:t>
            </w:r>
          </w:p>
        </w:tc>
        <w:tc>
          <w:tcPr>
            <w:tcW w:w="1728" w:type="dxa"/>
          </w:tcPr>
          <w:p w14:paraId="693E3B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26151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38DE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28" w:type="dxa"/>
          </w:tcPr>
          <w:p w14:paraId="26EB7F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Методология</w:t>
            </w:r>
          </w:p>
        </w:tc>
        <w:tc>
          <w:tcPr>
            <w:tcW w:w="1728" w:type="dxa"/>
          </w:tcPr>
          <w:p w14:paraId="0FCCAC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Используется сравнительно-правовой метод, анализ нормативных актов, обзор научной литературы. Экспериментальных методов нет.</w:t>
            </w:r>
          </w:p>
        </w:tc>
        <w:tc>
          <w:tcPr>
            <w:tcW w:w="1728" w:type="dxa"/>
          </w:tcPr>
          <w:p w14:paraId="46240C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Типично для юридических исследований.</w:t>
            </w:r>
          </w:p>
        </w:tc>
        <w:tc>
          <w:tcPr>
            <w:tcW w:w="1728" w:type="dxa"/>
          </w:tcPr>
          <w:p w14:paraId="2944BC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449F5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6B35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</w:tcPr>
          <w:p w14:paraId="731422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Литературный обзор</w:t>
            </w:r>
          </w:p>
        </w:tc>
        <w:tc>
          <w:tcPr>
            <w:tcW w:w="1728" w:type="dxa"/>
          </w:tcPr>
          <w:p w14:paraId="2B41EA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Приведены ссылки на труды авторов (Гончаренко, Рахимова, Сыбачин и др.), нормативные акты (стратегии, концепции, госпрограммы). Преобладает анализ официальных документов. Литература преимущественно 2019–2023 гг.</w:t>
            </w:r>
          </w:p>
        </w:tc>
        <w:tc>
          <w:tcPr>
            <w:tcW w:w="1728" w:type="dxa"/>
          </w:tcPr>
          <w:p w14:paraId="50DBA7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Обзор академичен, но не очень широкий.</w:t>
            </w:r>
          </w:p>
        </w:tc>
        <w:tc>
          <w:tcPr>
            <w:tcW w:w="1728" w:type="dxa"/>
          </w:tcPr>
          <w:p w14:paraId="260F8B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14:paraId="6BD9E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72DE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28" w:type="dxa"/>
          </w:tcPr>
          <w:p w14:paraId="4A83CE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Экспериментальная составляющая</w:t>
            </w:r>
          </w:p>
        </w:tc>
        <w:tc>
          <w:tcPr>
            <w:tcW w:w="1728" w:type="dxa"/>
          </w:tcPr>
          <w:p w14:paraId="398F64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Практической части в виде эксперимента нет. Анализ ограничен нормативно-правовыми актами и госпрограммами. Упоминаются проекты («Smart Data Ukimet»), но без эмпирических данных.</w:t>
            </w:r>
          </w:p>
        </w:tc>
        <w:tc>
          <w:tcPr>
            <w:tcW w:w="1728" w:type="dxa"/>
          </w:tcPr>
          <w:p w14:paraId="27A55E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Слабая экспериментальная часть.</w:t>
            </w:r>
          </w:p>
        </w:tc>
        <w:tc>
          <w:tcPr>
            <w:tcW w:w="1728" w:type="dxa"/>
          </w:tcPr>
          <w:p w14:paraId="40520A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 (из 27)</w:t>
            </w:r>
          </w:p>
        </w:tc>
      </w:tr>
      <w:tr w14:paraId="0973C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204A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28" w:type="dxa"/>
          </w:tcPr>
          <w:p w14:paraId="7099AE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1728" w:type="dxa"/>
          </w:tcPr>
          <w:p w14:paraId="10E9C1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Выводы связаны с целями. Подчёркнута необходимость специальных правовых актов, разграничения персональных/неперсональных данных. Мысль завершённая, есть перспектива применения опыта в других странах ЕАЭС.</w:t>
            </w:r>
          </w:p>
        </w:tc>
        <w:tc>
          <w:tcPr>
            <w:tcW w:w="1728" w:type="dxa"/>
          </w:tcPr>
          <w:p w14:paraId="524683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Структурно выдержано.</w:t>
            </w:r>
          </w:p>
        </w:tc>
        <w:tc>
          <w:tcPr>
            <w:tcW w:w="1728" w:type="dxa"/>
          </w:tcPr>
          <w:p w14:paraId="6D2F60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273D6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DCB2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28" w:type="dxa"/>
          </w:tcPr>
          <w:p w14:paraId="67FC4F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Качество литературы</w:t>
            </w:r>
          </w:p>
        </w:tc>
        <w:tc>
          <w:tcPr>
            <w:tcW w:w="1728" w:type="dxa"/>
          </w:tcPr>
          <w:p w14:paraId="049E2D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Использованы современные источники (до 2023 г.), включая нормативные акты и конференционные сборники. Оформление соответствует академическому стилю.</w:t>
            </w:r>
          </w:p>
        </w:tc>
        <w:tc>
          <w:tcPr>
            <w:tcW w:w="1728" w:type="dxa"/>
          </w:tcPr>
          <w:p w14:paraId="24AB05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Литература относительно свежая.</w:t>
            </w:r>
          </w:p>
        </w:tc>
        <w:tc>
          <w:tcPr>
            <w:tcW w:w="1728" w:type="dxa"/>
          </w:tcPr>
          <w:p w14:paraId="7FDAFE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09AA5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2C69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28" w:type="dxa"/>
          </w:tcPr>
          <w:p w14:paraId="1E2B2D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Структурные компоненты</w:t>
            </w:r>
          </w:p>
        </w:tc>
        <w:tc>
          <w:tcPr>
            <w:tcW w:w="1728" w:type="dxa"/>
          </w:tcPr>
          <w:p w14:paraId="649214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Чётко выделены аннотация, введение, основная часть, заключение. Есть абзацы и отступы.</w:t>
            </w:r>
          </w:p>
        </w:tc>
        <w:tc>
          <w:tcPr>
            <w:tcW w:w="1728" w:type="dxa"/>
          </w:tcPr>
          <w:p w14:paraId="75B25D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Структура соблюдена.</w:t>
            </w:r>
          </w:p>
        </w:tc>
        <w:tc>
          <w:tcPr>
            <w:tcW w:w="1728" w:type="dxa"/>
          </w:tcPr>
          <w:p w14:paraId="73B085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0531E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1E0E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28" w:type="dxa"/>
          </w:tcPr>
          <w:p w14:paraId="1B199E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Научный стиль</w:t>
            </w:r>
          </w:p>
        </w:tc>
        <w:tc>
          <w:tcPr>
            <w:tcW w:w="1728" w:type="dxa"/>
          </w:tcPr>
          <w:p w14:paraId="08618B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Используются вводные слова («как указывают авторы», «в заключение следует отметить»). Преобладают клише научного стиля.</w:t>
            </w:r>
          </w:p>
        </w:tc>
        <w:tc>
          <w:tcPr>
            <w:tcW w:w="1728" w:type="dxa"/>
          </w:tcPr>
          <w:p w14:paraId="1EC12C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Соответствует жанру.</w:t>
            </w:r>
          </w:p>
        </w:tc>
        <w:tc>
          <w:tcPr>
            <w:tcW w:w="1728" w:type="dxa"/>
          </w:tcPr>
          <w:p w14:paraId="3DE9EE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6598A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EC8B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28" w:type="dxa"/>
          </w:tcPr>
          <w:p w14:paraId="6B795B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Язык и стилистика</w:t>
            </w:r>
          </w:p>
        </w:tc>
        <w:tc>
          <w:tcPr>
            <w:tcW w:w="1728" w:type="dxa"/>
          </w:tcPr>
          <w:p w14:paraId="14D701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Стиль официальный, единообразный, без разговорных элементов. Сложные синтаксические конструкции, терминология юридического и цифрового профиля.</w:t>
            </w:r>
          </w:p>
        </w:tc>
        <w:tc>
          <w:tcPr>
            <w:tcW w:w="1728" w:type="dxa"/>
          </w:tcPr>
          <w:p w14:paraId="718859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Научный стиль выдержан.</w:t>
            </w:r>
          </w:p>
        </w:tc>
        <w:tc>
          <w:tcPr>
            <w:tcW w:w="1728" w:type="dxa"/>
          </w:tcPr>
          <w:p w14:paraId="701583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49969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32E0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28" w:type="dxa"/>
          </w:tcPr>
          <w:p w14:paraId="776398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Итого (КПД)</w:t>
            </w:r>
          </w:p>
        </w:tc>
        <w:tc>
          <w:tcPr>
            <w:tcW w:w="1728" w:type="dxa"/>
          </w:tcPr>
          <w:p w14:paraId="194AE6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Статья соответствует академическим стандартам, актуальна для исследования цифровизации и права. Недостаток – слабая экспериментальная база, акцент только на нормативных актах. Тем не менее, материал полезен как база для анализа правового регулирования Big Data.</w:t>
            </w:r>
          </w:p>
        </w:tc>
        <w:tc>
          <w:tcPr>
            <w:tcW w:w="1728" w:type="dxa"/>
          </w:tcPr>
          <w:p w14:paraId="563737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КПД ≈ 85%.</w:t>
            </w:r>
          </w:p>
        </w:tc>
        <w:tc>
          <w:tcPr>
            <w:tcW w:w="1728" w:type="dxa"/>
          </w:tcPr>
          <w:p w14:paraId="17EA19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845AA8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CE5AEB"/>
    <w:rsid w:val="15254FBD"/>
    <w:rsid w:val="3E332998"/>
    <w:rsid w:val="5E821909"/>
    <w:rsid w:val="6B464D0B"/>
    <w:rsid w:val="6C574580"/>
    <w:rsid w:val="6F403311"/>
    <w:rsid w:val="72E27C4A"/>
    <w:rsid w:val="766B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2025-10-02T16:01:15Z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BF4C5CDE8D4C48F58E4A6282231183E3_13</vt:lpwstr>
  </property>
</Properties>
</file>