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76287">
      <w:pPr>
        <w:jc w:val="right"/>
      </w:pPr>
      <w:r>
        <w:rPr>
          <w:rFonts w:ascii="Times New Roman" w:hAnsi="Times New Roman"/>
          <w:sz w:val="28"/>
        </w:rPr>
        <w:t>Ведерников Дмитрий Михайлович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6B06101 – Информационные системы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Группа ИС 252 (3)</w:t>
      </w:r>
    </w:p>
    <w:p w14:paraId="6D5E7B66"/>
    <w:p w14:paraId="104D3E43">
      <w:pPr>
        <w:jc w:val="center"/>
      </w:pPr>
      <w:r>
        <w:rPr>
          <w:rFonts w:ascii="Times New Roman" w:hAnsi="Times New Roman"/>
          <w:b/>
          <w:sz w:val="28"/>
        </w:rPr>
        <w:t>ИСПОЛЬЗОВАНИЕ СТУДЕНТАМИ ТУРАНА ИНСТРУМЕНТОВ КИБЕРБЕЗОПАСНОСТИ</w:t>
      </w:r>
      <w:r>
        <w:rPr>
          <w:rFonts w:ascii="Times New Roman" w:hAnsi="Times New Roman"/>
          <w:b/>
          <w:sz w:val="28"/>
        </w:rPr>
        <w:br w:type="textWrapping"/>
      </w:r>
    </w:p>
    <w:p w14:paraId="062CA547">
      <w:pPr>
        <w:ind w:firstLine="709"/>
        <w:jc w:val="both"/>
      </w:pPr>
      <w:r>
        <w:rPr>
          <w:rFonts w:ascii="Times New Roman" w:hAnsi="Times New Roman"/>
          <w:sz w:val="28"/>
        </w:rPr>
        <w:t>Введение</w:t>
      </w:r>
    </w:p>
    <w:p w14:paraId="0149E001">
      <w:pPr>
        <w:ind w:firstLine="709"/>
        <w:jc w:val="both"/>
      </w:pPr>
    </w:p>
    <w:p w14:paraId="55322B04">
      <w:pPr>
        <w:ind w:firstLine="709"/>
        <w:jc w:val="both"/>
      </w:pPr>
      <w:r>
        <w:rPr>
          <w:rFonts w:ascii="Times New Roman" w:hAnsi="Times New Roman"/>
          <w:sz w:val="28"/>
        </w:rPr>
        <w:t>Современная цифровая трансформация образовательной среды предъявляет новые требования к уровню цифровой компетентности студентов. Обучающиеся активно используют онлайн‑платформы, облачные сервисы, электронную почту и социальные сети, что делает их одной из наиболее уязвимых категорий пользователей в киберпространстве. В условиях роста количества киберугроз проблема обеспечения цифровой безопасности студентов становится не только педагогическим, но и социально‑экономическим вызовом. Актуальность темы исследования определяется необходимостью изучения того, насколько студенты университета «Туран» владеют инструментами киберзащиты и используют ли они их в повседневной деятельности.</w:t>
      </w:r>
    </w:p>
    <w:p w14:paraId="0D18B023">
      <w:pPr>
        <w:ind w:firstLine="709"/>
        <w:jc w:val="both"/>
      </w:pPr>
    </w:p>
    <w:p w14:paraId="2BED81B2">
      <w:pPr>
        <w:ind w:firstLine="709"/>
        <w:jc w:val="both"/>
      </w:pPr>
      <w:r>
        <w:rPr>
          <w:rFonts w:ascii="Times New Roman" w:hAnsi="Times New Roman"/>
          <w:sz w:val="28"/>
        </w:rPr>
        <w:t>Обоснование выбора темы заключается в том, что, несмотря на широкое распространение цифровых технологий, уровень цифровой грамотности и осведомлённости о киберугрозах у студентов остаётся неоднородным. Исследователи отмечают, что даже при высоком уровне владения интернет‑ресурсами обучающиеся демонстрируют недостаточное понимание принципов защиты данных и методов предотвращения киберинцидентов [1]. Это подтверждает необходимость анализа структуры цифровых компетенций и факторов, влияющих на применение инструментов кибербезопасности.</w:t>
      </w:r>
    </w:p>
    <w:p w14:paraId="493E19AD">
      <w:pPr>
        <w:ind w:firstLine="709"/>
        <w:jc w:val="both"/>
      </w:pPr>
    </w:p>
    <w:p w14:paraId="603ACED4">
      <w:pPr>
        <w:ind w:firstLine="709"/>
        <w:jc w:val="both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 xml:space="preserve">Степень изученности темы отражена в работах современных исследователей. </w:t>
      </w:r>
      <w:r>
        <w:rPr>
          <w:rFonts w:hint="default" w:ascii="Times New Roman" w:hAnsi="Times New Roman"/>
          <w:sz w:val="28"/>
        </w:rPr>
        <w:t>Горева О.М.</w:t>
      </w:r>
      <w:r>
        <w:rPr>
          <w:rFonts w:ascii="Times New Roman" w:hAnsi="Times New Roman"/>
          <w:sz w:val="28"/>
        </w:rPr>
        <w:t xml:space="preserve"> и </w:t>
      </w:r>
      <w:r>
        <w:rPr>
          <w:rFonts w:hint="default" w:ascii="Times New Roman" w:hAnsi="Times New Roman"/>
          <w:sz w:val="28"/>
        </w:rPr>
        <w:t>Толстоухова И.В.</w:t>
      </w:r>
      <w:r>
        <w:rPr>
          <w:rFonts w:ascii="Times New Roman" w:hAnsi="Times New Roman"/>
          <w:sz w:val="28"/>
        </w:rPr>
        <w:t xml:space="preserve">  подчёркивают, что цифровая грамотность включает культуру безопасного поведения и умение использовать цифровые инструменты осознанно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[2</w:t>
      </w:r>
      <w:r>
        <w:rPr>
          <w:rFonts w:hint="default" w:ascii="Times New Roman" w:hAnsi="Times New Roman"/>
          <w:sz w:val="28"/>
          <w:lang w:val="ru-RU"/>
        </w:rPr>
        <w:t>, стр.45</w:t>
      </w:r>
      <w:r>
        <w:rPr>
          <w:rFonts w:ascii="Times New Roman" w:hAnsi="Times New Roman"/>
          <w:sz w:val="28"/>
        </w:rPr>
        <w:t xml:space="preserve">]. </w:t>
      </w:r>
      <w:r>
        <w:rPr>
          <w:rFonts w:hint="default" w:ascii="Times New Roman" w:hAnsi="Times New Roman"/>
          <w:sz w:val="28"/>
        </w:rPr>
        <w:t>Ломовская С.А.</w:t>
      </w:r>
      <w:r>
        <w:rPr>
          <w:rFonts w:ascii="Times New Roman" w:hAnsi="Times New Roman"/>
          <w:sz w:val="28"/>
        </w:rPr>
        <w:t xml:space="preserve"> и </w:t>
      </w:r>
      <w:r>
        <w:rPr>
          <w:rFonts w:hint="default" w:ascii="Times New Roman" w:hAnsi="Times New Roman"/>
          <w:sz w:val="28"/>
        </w:rPr>
        <w:t>Синогина Е.С.</w:t>
      </w:r>
      <w:r>
        <w:rPr>
          <w:rFonts w:ascii="Times New Roman" w:hAnsi="Times New Roman"/>
          <w:sz w:val="28"/>
        </w:rPr>
        <w:t xml:space="preserve"> [3] указывают, что знание рисков не означает умения предотвращать угрозы на практике. </w:t>
      </w:r>
      <w:r>
        <w:rPr>
          <w:rFonts w:hint="default" w:ascii="Times New Roman" w:hAnsi="Times New Roman"/>
          <w:sz w:val="28"/>
        </w:rPr>
        <w:t>Ахметов Б.Б.</w:t>
      </w:r>
      <w:r>
        <w:rPr>
          <w:rFonts w:ascii="Times New Roman" w:hAnsi="Times New Roman"/>
          <w:sz w:val="28"/>
        </w:rPr>
        <w:t xml:space="preserve"> и </w:t>
      </w:r>
      <w:r>
        <w:rPr>
          <w:rFonts w:hint="default" w:ascii="Times New Roman" w:hAnsi="Times New Roman"/>
          <w:sz w:val="28"/>
        </w:rPr>
        <w:t>Лахно В.А.</w:t>
      </w:r>
      <w:r>
        <w:rPr>
          <w:rFonts w:ascii="Times New Roman" w:hAnsi="Times New Roman"/>
          <w:sz w:val="28"/>
        </w:rPr>
        <w:t xml:space="preserve"> [4] рассматривают кибербезопасность образовательной среды как комплексную систему, где активное участие самого студента является обязательным элементом. Эти подходы формируют теоретическую основу исследования.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br w:type="textWrapping"/>
      </w:r>
      <w:r>
        <w:rPr>
          <w:rFonts w:hint="default" w:ascii="Times New Roman" w:hAnsi="Times New Roman"/>
          <w:sz w:val="28"/>
          <w:highlight w:val="yellow"/>
          <w:lang w:val="ru-RU"/>
        </w:rPr>
        <w:t xml:space="preserve">(СКОБКИ ТОЛЬКЛ КВАДРАТНЫЕ И В КОНЦЕ ЦЫТАТЫ ДО ТОЧКИ С УКАЗАНИЕМ СТРАНИЦ </w:t>
      </w:r>
      <w:r>
        <w:rPr>
          <w:rFonts w:hint="default" w:ascii="Times New Roman" w:hAnsi="Times New Roman"/>
          <w:sz w:val="28"/>
          <w:highlight w:val="yellow"/>
          <w:lang w:val="ru-RU"/>
        </w:rPr>
        <w:br w:type="textWrapping"/>
      </w:r>
      <w:r>
        <w:rPr>
          <w:rFonts w:hint="default" w:ascii="Times New Roman" w:hAnsi="Times New Roman"/>
          <w:sz w:val="28"/>
          <w:highlight w:val="yellow"/>
          <w:lang w:val="ru-RU"/>
        </w:rPr>
        <w:t xml:space="preserve">пример </w:t>
      </w:r>
      <w:r>
        <w:rPr>
          <w:rFonts w:hint="default" w:ascii="Times New Roman" w:hAnsi="Times New Roman"/>
          <w:sz w:val="28"/>
          <w:highlight w:val="yellow"/>
          <w:lang w:val="ru-RU"/>
        </w:rPr>
        <w:br w:type="textWrapping"/>
      </w:r>
      <w:r>
        <w:rPr>
          <w:rFonts w:hint="default" w:ascii="Times New Roman" w:hAnsi="Times New Roman"/>
          <w:sz w:val="28"/>
          <w:highlight w:val="yellow"/>
          <w:lang w:val="ru-RU"/>
        </w:rPr>
        <w:t>Горева О.М. и Толстоухова И.В.  подчёркивают, что цифровая грамотность включает культуру безопасного поведения и умение использовать цифровые инструменты осознанно [2, стр.45] )</w:t>
      </w:r>
      <w:r>
        <w:rPr>
          <w:rFonts w:hint="default" w:ascii="Times New Roman" w:hAnsi="Times New Roman"/>
          <w:sz w:val="28"/>
          <w:highlight w:val="yellow"/>
          <w:lang w:val="ru-RU"/>
        </w:rPr>
        <w:br w:type="textWrapping"/>
      </w:r>
      <w:r>
        <w:rPr>
          <w:rFonts w:hint="default" w:ascii="Times New Roman" w:hAnsi="Times New Roman"/>
          <w:sz w:val="28"/>
          <w:highlight w:val="yellow"/>
          <w:lang w:val="ru-RU"/>
        </w:rPr>
        <w:br w:type="textWrapping"/>
      </w:r>
      <w:r>
        <w:rPr>
          <w:rFonts w:hint="default" w:ascii="Times New Roman" w:hAnsi="Times New Roman"/>
          <w:sz w:val="28"/>
          <w:highlight w:val="yellow"/>
          <w:lang w:val="ru-RU"/>
        </w:rPr>
        <w:t xml:space="preserve"> МИКРО ПРОБЕЛЫ В ИНИЦЫАЛАХ </w:t>
      </w:r>
    </w:p>
    <w:p w14:paraId="01649543">
      <w:pPr>
        <w:ind w:firstLine="709"/>
        <w:jc w:val="both"/>
      </w:pPr>
    </w:p>
    <w:p w14:paraId="3650CF96">
      <w:pPr>
        <w:ind w:firstLine="709"/>
        <w:jc w:val="both"/>
      </w:pPr>
      <w:r>
        <w:rPr>
          <w:rFonts w:ascii="Times New Roman" w:hAnsi="Times New Roman"/>
          <w:sz w:val="28"/>
        </w:rPr>
        <w:t xml:space="preserve">Объект исследования: цифровая деятельность студентов университета «Туран».  </w:t>
      </w:r>
    </w:p>
    <w:p w14:paraId="558E945A">
      <w:pPr>
        <w:ind w:firstLine="709"/>
        <w:jc w:val="both"/>
      </w:pPr>
      <w:r>
        <w:rPr>
          <w:rFonts w:ascii="Times New Roman" w:hAnsi="Times New Roman"/>
          <w:sz w:val="28"/>
        </w:rPr>
        <w:t xml:space="preserve">Предмет исследования: использование студентами инструментов кибербезопасности.  </w:t>
      </w:r>
    </w:p>
    <w:p w14:paraId="5C4DFE97">
      <w:pPr>
        <w:ind w:firstLine="709"/>
        <w:jc w:val="both"/>
      </w:pPr>
      <w:r>
        <w:rPr>
          <w:rFonts w:ascii="Times New Roman" w:hAnsi="Times New Roman"/>
          <w:sz w:val="28"/>
        </w:rPr>
        <w:t>Цель исследования: выявить уровень применения инструментов цифровой защиты студентами Турана и определить факторы, влияющие на их использование.</w:t>
      </w:r>
    </w:p>
    <w:p w14:paraId="5DA1C871">
      <w:pPr>
        <w:ind w:firstLine="709"/>
        <w:jc w:val="both"/>
      </w:pPr>
    </w:p>
    <w:p w14:paraId="1662E37B">
      <w:pPr>
        <w:ind w:firstLine="709"/>
        <w:jc w:val="both"/>
        <w:rPr>
          <w:rFonts w:hint="default"/>
          <w:highlight w:val="yellow"/>
          <w:lang w:val="ru-RU"/>
        </w:rPr>
      </w:pPr>
      <w:r>
        <w:rPr>
          <w:rFonts w:ascii="Times New Roman" w:hAnsi="Times New Roman"/>
          <w:sz w:val="28"/>
        </w:rPr>
        <w:t>Задачи исследования:</w:t>
      </w:r>
      <w:r>
        <w:rPr>
          <w:rFonts w:hint="default" w:ascii="Times New Roman" w:hAnsi="Times New Roman"/>
          <w:sz w:val="28"/>
          <w:lang w:val="ru-RU"/>
        </w:rPr>
        <w:t xml:space="preserve">  </w:t>
      </w:r>
      <w:r>
        <w:rPr>
          <w:rFonts w:hint="default" w:ascii="Times New Roman" w:hAnsi="Times New Roman"/>
          <w:sz w:val="28"/>
          <w:highlight w:val="yellow"/>
          <w:lang w:val="ru-RU"/>
        </w:rPr>
        <w:t>(использовать метод триады)</w:t>
      </w:r>
    </w:p>
    <w:p w14:paraId="4B298DD8">
      <w:pPr>
        <w:ind w:firstLine="709"/>
        <w:jc w:val="both"/>
      </w:pPr>
      <w:r>
        <w:rPr>
          <w:rFonts w:ascii="Times New Roman" w:hAnsi="Times New Roman"/>
          <w:sz w:val="28"/>
        </w:rPr>
        <w:t xml:space="preserve">1. Изучить теоретические подходы к пониманию цифровой грамотности и кибербезопасности студентов.  </w:t>
      </w:r>
    </w:p>
    <w:p w14:paraId="3E646397">
      <w:pPr>
        <w:ind w:firstLine="709"/>
        <w:jc w:val="both"/>
      </w:pPr>
      <w:r>
        <w:rPr>
          <w:rFonts w:ascii="Times New Roman" w:hAnsi="Times New Roman"/>
          <w:sz w:val="28"/>
        </w:rPr>
        <w:t xml:space="preserve">2. Проанализировать существующие исследования по теме цифровых компетенций.  </w:t>
      </w:r>
    </w:p>
    <w:p w14:paraId="58680636">
      <w:pPr>
        <w:ind w:firstLine="709"/>
        <w:jc w:val="both"/>
      </w:pPr>
      <w:r>
        <w:rPr>
          <w:rFonts w:ascii="Times New Roman" w:hAnsi="Times New Roman"/>
          <w:sz w:val="28"/>
        </w:rPr>
        <w:t xml:space="preserve">3. Выявить наиболее востребованные студентами инструменты киберзащиты.  </w:t>
      </w:r>
    </w:p>
    <w:p w14:paraId="3D5AC7F0">
      <w:pPr>
        <w:ind w:firstLine="709"/>
        <w:jc w:val="both"/>
      </w:pPr>
      <w:r>
        <w:rPr>
          <w:rFonts w:ascii="Times New Roman" w:hAnsi="Times New Roman"/>
          <w:sz w:val="28"/>
        </w:rPr>
        <w:t xml:space="preserve">4. Оценить проблемы, ограничивающие использование инструментов кибербезопасности.  </w:t>
      </w:r>
    </w:p>
    <w:p w14:paraId="6434BA85">
      <w:pPr>
        <w:ind w:firstLine="709"/>
        <w:jc w:val="both"/>
      </w:pPr>
      <w:r>
        <w:rPr>
          <w:rFonts w:ascii="Times New Roman" w:hAnsi="Times New Roman"/>
          <w:sz w:val="28"/>
        </w:rPr>
        <w:t>5. Сформулировать рекомендации по повышению уровня цифровой безопасности студентов.</w:t>
      </w:r>
    </w:p>
    <w:p w14:paraId="24CF905C">
      <w:pPr>
        <w:ind w:firstLine="709"/>
        <w:jc w:val="both"/>
      </w:pPr>
      <w:r>
        <w:br w:type="textWrapping"/>
      </w:r>
    </w:p>
    <w:p w14:paraId="74B5A653">
      <w:pPr>
        <w:ind w:firstLine="709"/>
        <w:jc w:val="both"/>
      </w:pPr>
      <w:r>
        <w:rPr>
          <w:rFonts w:ascii="Times New Roman" w:hAnsi="Times New Roman"/>
          <w:sz w:val="28"/>
        </w:rPr>
        <w:t>Основная часть</w:t>
      </w:r>
    </w:p>
    <w:p w14:paraId="5C6A1B36">
      <w:pPr>
        <w:ind w:firstLine="709"/>
        <w:jc w:val="both"/>
      </w:pPr>
    </w:p>
    <w:p w14:paraId="5EB678F8">
      <w:pPr>
        <w:ind w:firstLine="709"/>
        <w:jc w:val="both"/>
      </w:pPr>
      <w:r>
        <w:rPr>
          <w:rFonts w:ascii="Times New Roman" w:hAnsi="Times New Roman"/>
          <w:sz w:val="28"/>
        </w:rPr>
        <w:t>1. Цифровая грамотность студентов как основа безопасного поведения</w:t>
      </w:r>
    </w:p>
    <w:p w14:paraId="56C0F025">
      <w:pPr>
        <w:ind w:firstLine="709"/>
        <w:jc w:val="both"/>
      </w:pPr>
    </w:p>
    <w:p w14:paraId="42653307">
      <w:pPr>
        <w:ind w:firstLine="709"/>
        <w:jc w:val="both"/>
      </w:pPr>
      <w:r>
        <w:rPr>
          <w:rFonts w:ascii="Times New Roman" w:hAnsi="Times New Roman"/>
          <w:sz w:val="28"/>
        </w:rPr>
        <w:t xml:space="preserve">Цифровая грамотность включает умения эффективно и безопасно использовать цифровые технологии. </w:t>
      </w:r>
      <w:r>
        <w:rPr>
          <w:rFonts w:hint="default" w:ascii="Times New Roman" w:hAnsi="Times New Roman"/>
          <w:sz w:val="28"/>
        </w:rPr>
        <w:t>Горева О.М.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hint="default" w:ascii="Times New Roman" w:hAnsi="Times New Roman"/>
          <w:sz w:val="28"/>
        </w:rPr>
        <w:t>Толстоухова И.В.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[2] подчёркивают, что цифровая грамотность включает способность анализировать источники угроз, критическое мышление и навыки работы с защитными инструментами. Однако большинство студентов переоценивают свой уровень знаний, что приводит к ошибкам в цифровой среде. </w:t>
      </w:r>
      <w:r>
        <w:rPr>
          <w:rFonts w:hint="default" w:ascii="Times New Roman" w:hAnsi="Times New Roman"/>
          <w:sz w:val="28"/>
        </w:rPr>
        <w:t>Закирова А.Х.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hint="default" w:ascii="Times New Roman" w:hAnsi="Times New Roman"/>
          <w:sz w:val="28"/>
        </w:rPr>
        <w:t>Маханбетчин Р.Р.</w:t>
      </w:r>
      <w:r>
        <w:rPr>
          <w:rFonts w:ascii="Times New Roman" w:hAnsi="Times New Roman"/>
          <w:sz w:val="28"/>
        </w:rPr>
        <w:t>[1] отмечают, что студенты недостаточно используют двухфакторную аутентификацию, редко обновляют ПО и не способны распознавать фишинг‑атаки.</w:t>
      </w:r>
    </w:p>
    <w:p w14:paraId="75BA039F">
      <w:pPr>
        <w:ind w:firstLine="709"/>
        <w:jc w:val="both"/>
      </w:pPr>
    </w:p>
    <w:p w14:paraId="61F5BE81">
      <w:pPr>
        <w:ind w:firstLine="709"/>
        <w:jc w:val="both"/>
      </w:pPr>
      <w:r>
        <w:rPr>
          <w:rFonts w:ascii="Times New Roman" w:hAnsi="Times New Roman"/>
          <w:sz w:val="28"/>
        </w:rPr>
        <w:t>2. Разрыв между осведомлённостью и практическим применением инструментов защиты</w:t>
      </w:r>
    </w:p>
    <w:p w14:paraId="22C1BF12">
      <w:pPr>
        <w:ind w:firstLine="709"/>
        <w:jc w:val="both"/>
      </w:pPr>
    </w:p>
    <w:p w14:paraId="1815A895">
      <w:pPr>
        <w:ind w:firstLine="709"/>
        <w:jc w:val="both"/>
      </w:pPr>
      <w:r>
        <w:rPr>
          <w:rFonts w:hint="default" w:ascii="Times New Roman" w:hAnsi="Times New Roman"/>
          <w:sz w:val="28"/>
        </w:rPr>
        <w:t>Ломовская С.А.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hint="default" w:ascii="Times New Roman" w:hAnsi="Times New Roman"/>
          <w:sz w:val="28"/>
        </w:rPr>
        <w:t>Синогина Е.С.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 выявили, что студенты хорошо знают о существовании угроз, но редко применяют инструменты защиты систематически[3</w:t>
      </w:r>
      <w:r>
        <w:rPr>
          <w:rFonts w:hint="default" w:ascii="Times New Roman" w:hAnsi="Times New Roman"/>
          <w:sz w:val="28"/>
          <w:lang w:val="ru-RU"/>
        </w:rPr>
        <w:t>, 45</w:t>
      </w:r>
      <w:r>
        <w:rPr>
          <w:rFonts w:ascii="Times New Roman" w:hAnsi="Times New Roman"/>
          <w:sz w:val="28"/>
        </w:rPr>
        <w:t>]. Это связано с отсутствием образовательных программ по кибергигиене, низкой мотивацией и недостатком практических навыков. Наиболее частые угрозы — утечка данных, взлом аккаунтов, вредоносные вложения. Однако студенты не воспринимают их как непосредственную опасность.</w:t>
      </w:r>
    </w:p>
    <w:p w14:paraId="45396ED9">
      <w:pPr>
        <w:ind w:firstLine="709"/>
        <w:jc w:val="both"/>
      </w:pPr>
    </w:p>
    <w:p w14:paraId="4DD5C13B">
      <w:pPr>
        <w:ind w:firstLine="709"/>
        <w:jc w:val="both"/>
      </w:pPr>
      <w:r>
        <w:rPr>
          <w:rFonts w:hint="default" w:ascii="Times New Roman" w:hAnsi="Times New Roman"/>
          <w:sz w:val="28"/>
        </w:rPr>
        <w:t>Ахметов Б.Б.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hint="default" w:ascii="Times New Roman" w:hAnsi="Times New Roman"/>
          <w:sz w:val="28"/>
        </w:rPr>
        <w:t>Лахно В.А.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[4] подчёркивают, что человеческий фактор является слабым звеном в системе информационной безопасности, поэтому обучение студентов является ключевым аспектом киберзащиты. Это подтверждает необходимость повышения цифровой компетентности в университетах.</w:t>
      </w:r>
    </w:p>
    <w:p w14:paraId="2884236E">
      <w:pPr>
        <w:ind w:firstLine="709"/>
        <w:jc w:val="both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61EE96CF">
      <w:pPr>
        <w:ind w:firstLine="709"/>
        <w:jc w:val="both"/>
      </w:pPr>
      <w:r>
        <w:rPr>
          <w:rFonts w:ascii="Times New Roman" w:hAnsi="Times New Roman"/>
          <w:sz w:val="28"/>
        </w:rPr>
        <w:t>3. Инструменты кибербезопасности, используемые студентами</w:t>
      </w:r>
    </w:p>
    <w:p w14:paraId="4FBF7FA4">
      <w:pPr>
        <w:ind w:firstLine="709"/>
        <w:jc w:val="both"/>
      </w:pPr>
      <w:r>
        <w:rPr>
          <w:rFonts w:ascii="Times New Roman" w:hAnsi="Times New Roman"/>
          <w:sz w:val="28"/>
        </w:rPr>
        <w:t>К наиболее применяемым инструментам киберзащиты относятся:</w:t>
      </w:r>
    </w:p>
    <w:p w14:paraId="05BF84A6">
      <w:pPr>
        <w:ind w:firstLine="709"/>
        <w:jc w:val="both"/>
      </w:pPr>
      <w:r>
        <w:rPr>
          <w:rFonts w:ascii="Times New Roman" w:hAnsi="Times New Roman"/>
          <w:sz w:val="28"/>
        </w:rPr>
        <w:t xml:space="preserve">• двухфакторная аутентификация;  </w:t>
      </w:r>
    </w:p>
    <w:p w14:paraId="7A9870B6">
      <w:pPr>
        <w:ind w:firstLine="709"/>
        <w:jc w:val="both"/>
      </w:pPr>
      <w:r>
        <w:rPr>
          <w:rFonts w:ascii="Times New Roman" w:hAnsi="Times New Roman"/>
          <w:sz w:val="28"/>
        </w:rPr>
        <w:t xml:space="preserve">• антивирусные программы;  </w:t>
      </w:r>
    </w:p>
    <w:p w14:paraId="75204BDA">
      <w:pPr>
        <w:ind w:firstLine="709"/>
        <w:jc w:val="both"/>
      </w:pPr>
      <w:r>
        <w:rPr>
          <w:rFonts w:ascii="Times New Roman" w:hAnsi="Times New Roman"/>
          <w:sz w:val="28"/>
        </w:rPr>
        <w:t xml:space="preserve">• использование VPN;  </w:t>
      </w:r>
    </w:p>
    <w:p w14:paraId="666077FF">
      <w:pPr>
        <w:ind w:firstLine="709"/>
        <w:jc w:val="both"/>
      </w:pPr>
      <w:r>
        <w:rPr>
          <w:rFonts w:ascii="Times New Roman" w:hAnsi="Times New Roman"/>
          <w:sz w:val="28"/>
        </w:rPr>
        <w:t xml:space="preserve">• регулярная смена паролей;  </w:t>
      </w:r>
    </w:p>
    <w:p w14:paraId="70A840C8">
      <w:pPr>
        <w:ind w:firstLine="709"/>
        <w:jc w:val="both"/>
      </w:pPr>
      <w:r>
        <w:rPr>
          <w:rFonts w:ascii="Times New Roman" w:hAnsi="Times New Roman"/>
          <w:sz w:val="28"/>
        </w:rPr>
        <w:t xml:space="preserve">• использование безопасных облачных хранилищ;  </w:t>
      </w:r>
    </w:p>
    <w:p w14:paraId="6842B51A">
      <w:pPr>
        <w:ind w:firstLine="709"/>
        <w:jc w:val="both"/>
      </w:pPr>
      <w:r>
        <w:rPr>
          <w:rFonts w:ascii="Times New Roman" w:hAnsi="Times New Roman"/>
          <w:sz w:val="28"/>
        </w:rPr>
        <w:t>• проверка ссылок и файлов.</w:t>
      </w:r>
    </w:p>
    <w:p w14:paraId="6F922434">
      <w:pPr>
        <w:ind w:firstLine="709"/>
        <w:jc w:val="both"/>
      </w:pPr>
    </w:p>
    <w:p w14:paraId="20981758">
      <w:pPr>
        <w:ind w:firstLine="709"/>
        <w:jc w:val="both"/>
      </w:pPr>
      <w:r>
        <w:rPr>
          <w:rFonts w:ascii="Times New Roman" w:hAnsi="Times New Roman"/>
          <w:sz w:val="28"/>
        </w:rPr>
        <w:t xml:space="preserve">Однако реальная частота использования остаётся низкой. Студенты включают двухфакторную аутентификацию лишь в банковских приложениях, VPN используют не ради безопасности, а для доступа к ресурсам. </w:t>
      </w:r>
      <w:r>
        <w:rPr>
          <w:rFonts w:hint="default" w:ascii="Times New Roman" w:hAnsi="Times New Roman"/>
          <w:sz w:val="28"/>
        </w:rPr>
        <w:t>Васева Е.С.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ascii="Times New Roman" w:hAnsi="Times New Roman"/>
          <w:sz w:val="28"/>
        </w:rPr>
        <w:t xml:space="preserve">и </w:t>
      </w:r>
      <w:r>
        <w:rPr>
          <w:rFonts w:hint="default" w:ascii="Times New Roman" w:hAnsi="Times New Roman"/>
          <w:sz w:val="28"/>
        </w:rPr>
        <w:t>Бужинская Н.В.</w:t>
      </w:r>
      <w:r>
        <w:rPr>
          <w:rFonts w:hint="default"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[5] отмечают, что мотивация студентов основана на необходимости, а не осознанности.</w:t>
      </w:r>
    </w:p>
    <w:p w14:paraId="36865984">
      <w:pPr>
        <w:ind w:firstLine="709"/>
        <w:jc w:val="both"/>
      </w:pPr>
      <w:bookmarkStart w:id="0" w:name="_GoBack"/>
    </w:p>
    <w:p w14:paraId="0F8FFF27">
      <w:pPr>
        <w:ind w:firstLine="709"/>
        <w:jc w:val="both"/>
      </w:pPr>
      <w:r>
        <w:rPr>
          <w:rFonts w:ascii="Times New Roman" w:hAnsi="Times New Roman"/>
          <w:sz w:val="28"/>
        </w:rPr>
        <w:t>4. Барьеры, препятствующие использованию инструментов киберзащиты</w:t>
      </w:r>
    </w:p>
    <w:p w14:paraId="7834E10A">
      <w:pPr>
        <w:ind w:firstLine="709"/>
        <w:jc w:val="both"/>
      </w:pPr>
    </w:p>
    <w:p w14:paraId="0224817C">
      <w:pPr>
        <w:ind w:firstLine="709"/>
        <w:jc w:val="both"/>
      </w:pPr>
      <w:r>
        <w:rPr>
          <w:rFonts w:ascii="Times New Roman" w:hAnsi="Times New Roman"/>
          <w:sz w:val="28"/>
        </w:rPr>
        <w:t>Анализ источников позволяет выделить следующие препятствия:</w:t>
      </w:r>
    </w:p>
    <w:p w14:paraId="56AB9373">
      <w:pPr>
        <w:ind w:firstLine="709"/>
        <w:jc w:val="both"/>
      </w:pPr>
      <w:r>
        <w:rPr>
          <w:rFonts w:ascii="Times New Roman" w:hAnsi="Times New Roman"/>
          <w:sz w:val="28"/>
        </w:rPr>
        <w:t xml:space="preserve">1. Недостаточный уровень осведомлённости.  </w:t>
      </w:r>
    </w:p>
    <w:p w14:paraId="594B2E9C">
      <w:pPr>
        <w:ind w:firstLine="709"/>
        <w:jc w:val="both"/>
      </w:pPr>
      <w:r>
        <w:rPr>
          <w:rFonts w:ascii="Times New Roman" w:hAnsi="Times New Roman"/>
          <w:sz w:val="28"/>
        </w:rPr>
        <w:t xml:space="preserve">2. Отсутствие образовательных курсов по цифровой безопасности.  </w:t>
      </w:r>
    </w:p>
    <w:p w14:paraId="625AECF9">
      <w:pPr>
        <w:ind w:firstLine="709"/>
        <w:jc w:val="both"/>
      </w:pPr>
      <w:r>
        <w:rPr>
          <w:rFonts w:ascii="Times New Roman" w:hAnsi="Times New Roman"/>
          <w:sz w:val="28"/>
        </w:rPr>
        <w:t xml:space="preserve">3. Завышенная уверенность в собственной защищённости.  </w:t>
      </w:r>
    </w:p>
    <w:p w14:paraId="30426EAC">
      <w:pPr>
        <w:ind w:firstLine="709"/>
        <w:jc w:val="both"/>
      </w:pPr>
      <w:r>
        <w:rPr>
          <w:rFonts w:ascii="Times New Roman" w:hAnsi="Times New Roman"/>
          <w:sz w:val="28"/>
        </w:rPr>
        <w:t xml:space="preserve">4. Несформированные привычки безопасного поведения.  </w:t>
      </w:r>
    </w:p>
    <w:p w14:paraId="606D620A">
      <w:pPr>
        <w:ind w:firstLine="709"/>
        <w:jc w:val="both"/>
      </w:pPr>
      <w:r>
        <w:rPr>
          <w:rFonts w:ascii="Times New Roman" w:hAnsi="Times New Roman"/>
          <w:sz w:val="28"/>
        </w:rPr>
        <w:t>5. Недостаток технических навыков для использования VPN и менеджеров паролей.</w:t>
      </w:r>
    </w:p>
    <w:bookmarkEnd w:id="0"/>
    <w:p w14:paraId="71C391CD">
      <w:pPr>
        <w:ind w:firstLine="709"/>
        <w:jc w:val="both"/>
      </w:pPr>
    </w:p>
    <w:p w14:paraId="40A7D384">
      <w:pPr>
        <w:ind w:firstLine="709"/>
        <w:jc w:val="both"/>
      </w:pPr>
      <w:r>
        <w:rPr>
          <w:rFonts w:hint="default" w:ascii="Times New Roman" w:hAnsi="Times New Roman"/>
          <w:sz w:val="28"/>
        </w:rPr>
        <w:t>Иманкулова М.М.</w:t>
      </w:r>
      <w:r>
        <w:rPr>
          <w:rFonts w:ascii="Times New Roman" w:hAnsi="Times New Roman"/>
          <w:sz w:val="28"/>
        </w:rPr>
        <w:t>[6] подчёркивает, что развитие цифровой компетентности возможно только при активной поддержке университета. Необходимы тренинги, интерактивные занятия, моделирование угроз, включение кибергигиены в учебный план.</w:t>
      </w:r>
    </w:p>
    <w:p w14:paraId="3C77A655">
      <w:pPr>
        <w:ind w:firstLine="709"/>
        <w:jc w:val="both"/>
      </w:pPr>
    </w:p>
    <w:p w14:paraId="7C96F10E">
      <w:pPr>
        <w:ind w:firstLine="709"/>
        <w:jc w:val="both"/>
      </w:pPr>
      <w:r>
        <w:rPr>
          <w:rFonts w:ascii="Times New Roman" w:hAnsi="Times New Roman"/>
          <w:sz w:val="28"/>
        </w:rPr>
        <w:t>Заключение</w:t>
      </w:r>
    </w:p>
    <w:p w14:paraId="18FB79A9">
      <w:pPr>
        <w:ind w:firstLine="709"/>
        <w:jc w:val="both"/>
      </w:pPr>
    </w:p>
    <w:p w14:paraId="06631208">
      <w:pPr>
        <w:ind w:firstLine="709"/>
        <w:jc w:val="both"/>
      </w:pPr>
      <w:r>
        <w:rPr>
          <w:rFonts w:ascii="Times New Roman" w:hAnsi="Times New Roman"/>
          <w:sz w:val="28"/>
        </w:rPr>
        <w:t>В ходе исследования установлено, что использование студентами инструментов кибербезопасности остаётся несистемным и эпизодическим. Несмотря на общий уровень информированности, практическое применение защитных инструментов недостаточно. Основными результатами стали: выявление проблем цифровой грамотности, определение наиболее распространённых инструментов защиты и установление причин их нерегулярного применения.</w:t>
      </w:r>
    </w:p>
    <w:p w14:paraId="130B14F3">
      <w:pPr>
        <w:ind w:firstLine="709"/>
        <w:jc w:val="both"/>
      </w:pPr>
    </w:p>
    <w:p w14:paraId="05E37AF1">
      <w:pPr>
        <w:ind w:firstLine="709"/>
        <w:jc w:val="both"/>
      </w:pPr>
      <w:r>
        <w:rPr>
          <w:rFonts w:ascii="Times New Roman" w:hAnsi="Times New Roman"/>
          <w:sz w:val="28"/>
        </w:rPr>
        <w:t>Полученные результаты подтверждают необходимость внедрения образовательных инициатив, направленных на повышение уровня цифровой безопасности студентов. Перспективы дальнейших исследований включают проведение масштабного опроса студентов Турана, разработку авторских методик по обучению кибергигиене и интеграцию тренажёров по распознаванию угроз в учебный процесс.</w:t>
      </w:r>
    </w:p>
    <w:p w14:paraId="4D7A64E8">
      <w:pPr>
        <w:ind w:firstLine="709"/>
        <w:jc w:val="both"/>
      </w:pPr>
    </w:p>
    <w:p w14:paraId="49A83DF9">
      <w:pPr>
        <w:ind w:firstLine="709"/>
        <w:jc w:val="both"/>
      </w:pPr>
      <w:r>
        <w:rPr>
          <w:rFonts w:ascii="Times New Roman" w:hAnsi="Times New Roman"/>
          <w:sz w:val="28"/>
        </w:rPr>
        <w:t>Список литературы</w:t>
      </w:r>
    </w:p>
    <w:p w14:paraId="6F8194BE">
      <w:pPr>
        <w:ind w:firstLine="709"/>
        <w:jc w:val="both"/>
      </w:pPr>
    </w:p>
    <w:p w14:paraId="1E50D465">
      <w:pPr>
        <w:ind w:firstLine="709"/>
        <w:jc w:val="both"/>
      </w:pPr>
      <w:r>
        <w:rPr>
          <w:rFonts w:ascii="Times New Roman" w:hAnsi="Times New Roman"/>
          <w:sz w:val="28"/>
        </w:rPr>
        <w:t>1. Закирова А.Х., Маханбетчин Р.Р. Контуры современного образования: оценка цифровых навыков студентов // Вестник университета «Туран». – 2023. – №2(98). – С. 110–117.</w:t>
      </w:r>
    </w:p>
    <w:p w14:paraId="2AD339B5">
      <w:pPr>
        <w:ind w:firstLine="709"/>
        <w:jc w:val="both"/>
      </w:pPr>
      <w:r>
        <w:rPr>
          <w:rFonts w:ascii="Times New Roman" w:hAnsi="Times New Roman"/>
          <w:sz w:val="28"/>
        </w:rPr>
        <w:t>2. Горева О.М., Толстоухова И.В. Формирование цифровой грамотности студентов вуза // Вестник Сургутского государственного педагогического университета. – 2020. – №4. – С. 110–117.</w:t>
      </w:r>
    </w:p>
    <w:p w14:paraId="701D9609">
      <w:pPr>
        <w:ind w:firstLine="709"/>
        <w:jc w:val="both"/>
      </w:pPr>
      <w:r>
        <w:rPr>
          <w:rFonts w:ascii="Times New Roman" w:hAnsi="Times New Roman"/>
          <w:sz w:val="28"/>
        </w:rPr>
        <w:t>3. Ломовская С.А., Синогина Е.С. Риски современного интернет‑пространства: результаты исследования // Цифровая гуманитаристика и технологии в образовании (DHTE 2024). – С. 401–410.</w:t>
      </w:r>
    </w:p>
    <w:p w14:paraId="40F38C2B">
      <w:pPr>
        <w:ind w:firstLine="709"/>
        <w:jc w:val="both"/>
      </w:pPr>
      <w:r>
        <w:rPr>
          <w:rFonts w:ascii="Times New Roman" w:hAnsi="Times New Roman"/>
          <w:sz w:val="28"/>
        </w:rPr>
        <w:t>4. Ахметов Б.Б., Лахно В.А. Защита информации и кибербезопасность цифровой образовательной среды высшей школы // Вестник АУЭС им. Г. Даукеева. – 2022. – Т. 120, №1. – С. 134–141.</w:t>
      </w:r>
    </w:p>
    <w:p w14:paraId="42EFFA0C">
      <w:pPr>
        <w:ind w:firstLine="709"/>
        <w:jc w:val="both"/>
      </w:pPr>
      <w:r>
        <w:rPr>
          <w:rFonts w:ascii="Times New Roman" w:hAnsi="Times New Roman"/>
          <w:sz w:val="28"/>
        </w:rPr>
        <w:t>5. Васева Е.С., Бужинская Н.В. Особенности формирования профессиональной компетентности будущих специалистов ИТ‑сферы // Вестник АлтГПУ. – 2021. – №1. – С. 28–33.</w:t>
      </w:r>
    </w:p>
    <w:p w14:paraId="642B5B70">
      <w:pPr>
        <w:ind w:firstLine="709"/>
        <w:jc w:val="both"/>
      </w:pPr>
      <w:r>
        <w:rPr>
          <w:rFonts w:ascii="Times New Roman" w:hAnsi="Times New Roman"/>
          <w:sz w:val="28"/>
        </w:rPr>
        <w:t>6. Иманкулова М.М. Методы повышения цифровой компетентности студентов // Вестник КазНУ. – 2025. – №2. – С. 90–97.</w:t>
      </w:r>
    </w:p>
    <w:p w14:paraId="7BA11735">
      <w:pPr>
        <w:ind w:firstLine="709"/>
        <w:jc w:val="both"/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410D26"/>
    <w:rsid w:val="2E386631"/>
    <w:rsid w:val="3A525EC1"/>
    <w:rsid w:val="49112835"/>
    <w:rsid w:val="604832C7"/>
    <w:rsid w:val="7D1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878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2025-11-28T05:23:56Z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48D4F90156C44DF5A108861346EB0EE6_13</vt:lpwstr>
  </property>
</Properties>
</file>