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335C0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Индивидуальная карта анализа научной статьи и определения КПД </w:t>
      </w:r>
    </w:p>
    <w:p w14:paraId="7F91DDD0">
      <w:pPr>
        <w:spacing w:after="0" w:line="240" w:lineRule="auto"/>
        <w:rPr>
          <w:bCs w:val="0"/>
        </w:rPr>
      </w:pPr>
      <w:r>
        <w:rPr>
          <w:b/>
          <w:sz w:val="28"/>
          <w:szCs w:val="28"/>
        </w:rPr>
        <w:t xml:space="preserve">студента ОП Информационные системы ФИ Нумалов Юрий </w:t>
      </w:r>
    </w:p>
    <w:tbl>
      <w:tblPr>
        <w:tblStyle w:val="4"/>
        <w:tblW w:w="10348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127"/>
        <w:gridCol w:w="2552"/>
        <w:gridCol w:w="4393"/>
        <w:gridCol w:w="709"/>
      </w:tblGrid>
      <w:tr w14:paraId="66A0C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9F7775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2127" w:type="dxa"/>
          </w:tcPr>
          <w:p w14:paraId="45A9108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Пункты анализа</w:t>
            </w:r>
          </w:p>
        </w:tc>
        <w:tc>
          <w:tcPr>
            <w:tcW w:w="2552" w:type="dxa"/>
          </w:tcPr>
          <w:p w14:paraId="01ECDEE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4393" w:type="dxa"/>
          </w:tcPr>
          <w:p w14:paraId="7730B43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Примечание</w:t>
            </w:r>
          </w:p>
        </w:tc>
        <w:tc>
          <w:tcPr>
            <w:tcW w:w="709" w:type="dxa"/>
          </w:tcPr>
          <w:p w14:paraId="227E697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%</w:t>
            </w:r>
          </w:p>
        </w:tc>
      </w:tr>
      <w:tr w14:paraId="007C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424DCFB6">
            <w:pPr>
              <w:spacing w:after="0" w:line="240" w:lineRule="auto"/>
            </w:pPr>
            <w:r>
              <w:t>1.</w:t>
            </w:r>
          </w:p>
        </w:tc>
        <w:tc>
          <w:tcPr>
            <w:tcW w:w="2127" w:type="dxa"/>
          </w:tcPr>
          <w:p w14:paraId="3E265B59">
            <w:pPr>
              <w:spacing w:after="0" w:line="240" w:lineRule="auto"/>
            </w:pPr>
            <w:r>
              <w:t>Выходные данные</w:t>
            </w:r>
          </w:p>
        </w:tc>
        <w:tc>
          <w:tcPr>
            <w:tcW w:w="2552" w:type="dxa"/>
          </w:tcPr>
          <w:p w14:paraId="608B4431">
            <w:pPr>
              <w:spacing w:after="0" w:line="240" w:lineRule="auto"/>
            </w:pPr>
            <w:r>
              <w:rPr>
                <w:rFonts w:hint="default"/>
              </w:rPr>
              <w:t>Автор: Раюшкин В. К. Название статьи: «Национальные подходы Республики Казахстан к регламентации и внедрению в гражданский оборот технологии больших данных (Big Data) в условиях цифровизации». Место публикации: 60-я научная конференция аспирантов, магистрантов и студентов. Город / издательство: Минск, Национальный центр законодательства и правовых исследований Республики Беларусь. Год публикации: 2023.</w:t>
            </w:r>
          </w:p>
        </w:tc>
        <w:tc>
          <w:tcPr>
            <w:tcW w:w="4393" w:type="dxa"/>
          </w:tcPr>
          <w:p w14:paraId="59C3E3FD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</w:rPr>
              <w:t>Данные оформлены корректно. Все элементы присутствуют.</w:t>
            </w:r>
          </w:p>
        </w:tc>
        <w:tc>
          <w:tcPr>
            <w:tcW w:w="709" w:type="dxa"/>
          </w:tcPr>
          <w:p w14:paraId="4B0E5918">
            <w:pPr>
              <w:spacing w:after="0" w:line="240" w:lineRule="auto"/>
              <w:rPr>
                <w:b/>
              </w:rPr>
            </w:pPr>
          </w:p>
        </w:tc>
      </w:tr>
      <w:tr w14:paraId="5167F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005F357">
            <w:pPr>
              <w:spacing w:after="0" w:line="240" w:lineRule="auto"/>
            </w:pPr>
            <w:r>
              <w:t>2.</w:t>
            </w:r>
          </w:p>
        </w:tc>
        <w:tc>
          <w:tcPr>
            <w:tcW w:w="2127" w:type="dxa"/>
          </w:tcPr>
          <w:p w14:paraId="0F55437A">
            <w:pPr>
              <w:spacing w:after="0" w:line="240" w:lineRule="auto"/>
            </w:pPr>
            <w:r>
              <w:t>Аннотация на русском языке</w:t>
            </w:r>
          </w:p>
          <w:p w14:paraId="550A495B">
            <w:pPr>
              <w:spacing w:after="0" w:line="240" w:lineRule="auto"/>
            </w:pPr>
            <w:r>
              <w:t>(мах – 5%)</w:t>
            </w:r>
          </w:p>
        </w:tc>
        <w:tc>
          <w:tcPr>
            <w:tcW w:w="2552" w:type="dxa"/>
          </w:tcPr>
          <w:p w14:paraId="06ACFE15">
            <w:pPr>
              <w:spacing w:after="0" w:line="240" w:lineRule="auto"/>
            </w:pPr>
            <w:r>
              <w:rPr>
                <w:rFonts w:hint="default"/>
              </w:rPr>
              <w:t>«В статье проведен анализ правовой регламентации внедрения использования технологий больших данных (Big Data) в государственном управлении, экономических и социальных отношениях в стране. Сделан вывод о достаточно широком перечне принятых в Республике Казахстан правовых актов программного характера, а также о необходимости принятия специальных нормативных правовых актов, регулирующих использование больших данных в стране».</w:t>
            </w:r>
          </w:p>
        </w:tc>
        <w:tc>
          <w:tcPr>
            <w:tcW w:w="4393" w:type="dxa"/>
          </w:tcPr>
          <w:p w14:paraId="359C0CD3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</w:rPr>
              <w:t>Аннотация корректна, но носит описательный характер и не раскрывает методы и результаты исследования.</w:t>
            </w:r>
          </w:p>
        </w:tc>
        <w:tc>
          <w:tcPr>
            <w:tcW w:w="709" w:type="dxa"/>
          </w:tcPr>
          <w:p w14:paraId="3EA4C009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3%</w:t>
            </w:r>
          </w:p>
        </w:tc>
      </w:tr>
      <w:tr w14:paraId="3C511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D0B7DA8">
            <w:pPr>
              <w:spacing w:after="0" w:line="240" w:lineRule="auto"/>
            </w:pPr>
            <w:r>
              <w:t>3.</w:t>
            </w:r>
          </w:p>
        </w:tc>
        <w:tc>
          <w:tcPr>
            <w:tcW w:w="2127" w:type="dxa"/>
          </w:tcPr>
          <w:p w14:paraId="5CE04AB4">
            <w:pPr>
              <w:spacing w:after="0" w:line="240" w:lineRule="auto"/>
            </w:pPr>
            <w:r>
              <w:t>Ключевые слова (мах – 3%)</w:t>
            </w:r>
          </w:p>
        </w:tc>
        <w:tc>
          <w:tcPr>
            <w:tcW w:w="2552" w:type="dxa"/>
          </w:tcPr>
          <w:p w14:paraId="239ECFD5">
            <w:pPr>
              <w:spacing w:after="0" w:line="240" w:lineRule="auto"/>
            </w:pPr>
            <w:r>
              <w:rPr>
                <w:rFonts w:hint="default"/>
              </w:rPr>
              <w:t>«Большие данные, цифровизация, большие массивы данных, цифровые технологии».</w:t>
            </w:r>
          </w:p>
        </w:tc>
        <w:tc>
          <w:tcPr>
            <w:tcW w:w="4393" w:type="dxa"/>
          </w:tcPr>
          <w:p w14:paraId="5365E808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</w:rPr>
              <w:t>Ключевые слова приведены и оформлены корректно.</w:t>
            </w:r>
          </w:p>
          <w:p w14:paraId="1E97DC32">
            <w:pPr>
              <w:spacing w:after="0" w:line="240" w:lineRule="auto"/>
              <w:rPr>
                <w:bCs w:val="0"/>
              </w:rPr>
            </w:pPr>
          </w:p>
        </w:tc>
        <w:tc>
          <w:tcPr>
            <w:tcW w:w="709" w:type="dxa"/>
          </w:tcPr>
          <w:p w14:paraId="42E73E62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3%</w:t>
            </w:r>
          </w:p>
        </w:tc>
      </w:tr>
      <w:tr w14:paraId="60D04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DBBA8DD">
            <w:pPr>
              <w:spacing w:after="0" w:line="240" w:lineRule="auto"/>
            </w:pPr>
            <w:r>
              <w:t>4.</w:t>
            </w:r>
          </w:p>
        </w:tc>
        <w:tc>
          <w:tcPr>
            <w:tcW w:w="2127" w:type="dxa"/>
          </w:tcPr>
          <w:p w14:paraId="7349D869">
            <w:pPr>
              <w:spacing w:after="0" w:line="240" w:lineRule="auto"/>
            </w:pPr>
            <w:r>
              <w:t>Актуальность (мах – 6 %)</w:t>
            </w:r>
          </w:p>
        </w:tc>
        <w:tc>
          <w:tcPr>
            <w:tcW w:w="2552" w:type="dxa"/>
          </w:tcPr>
          <w:p w14:paraId="730021D6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Введение статьи начинается с указания, что Казахстан является одним из выделяющихся государств ЕАЭС в сфере развития информационных технологий и их правовой регламентации. Отмечается широкое применение технологий Big Data в производстве, здравоохранении, образовании, экологии и других сферах, что способствует переходу страны к Industry 4.0.</w:t>
            </w:r>
          </w:p>
        </w:tc>
        <w:tc>
          <w:tcPr>
            <w:tcW w:w="4393" w:type="dxa"/>
          </w:tcPr>
          <w:p w14:paraId="671F0BF2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Актуальность описана полно и логично.</w:t>
            </w:r>
          </w:p>
        </w:tc>
        <w:tc>
          <w:tcPr>
            <w:tcW w:w="709" w:type="dxa"/>
          </w:tcPr>
          <w:p w14:paraId="2D1A30D6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6</w:t>
            </w:r>
            <w:r>
              <w:rPr>
                <w:bCs w:val="0"/>
              </w:rPr>
              <w:t>%</w:t>
            </w:r>
          </w:p>
        </w:tc>
      </w:tr>
      <w:tr w14:paraId="79E2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145781C">
            <w:pPr>
              <w:spacing w:after="0" w:line="240" w:lineRule="auto"/>
            </w:pPr>
            <w:r>
              <w:t>5</w:t>
            </w:r>
          </w:p>
        </w:tc>
        <w:tc>
          <w:tcPr>
            <w:tcW w:w="2127" w:type="dxa"/>
          </w:tcPr>
          <w:p w14:paraId="511D89B6">
            <w:pPr>
              <w:spacing w:after="0" w:line="240" w:lineRule="auto"/>
            </w:pPr>
            <w:r>
              <w:t>Цель (мах – 3 %)</w:t>
            </w:r>
          </w:p>
        </w:tc>
        <w:tc>
          <w:tcPr>
            <w:tcW w:w="2552" w:type="dxa"/>
          </w:tcPr>
          <w:p w14:paraId="7538E627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Цель исследования прямо не обозначена в тексте. Из контекста можно понять, что автор стремится выявить особенности и уровень правового регулирования технологий Big Data в Казахстане.</w:t>
            </w:r>
          </w:p>
        </w:tc>
        <w:tc>
          <w:tcPr>
            <w:tcW w:w="4393" w:type="dxa"/>
          </w:tcPr>
          <w:p w14:paraId="22E25A9C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Цель не выделена явно.</w:t>
            </w:r>
          </w:p>
        </w:tc>
        <w:tc>
          <w:tcPr>
            <w:tcW w:w="709" w:type="dxa"/>
          </w:tcPr>
          <w:p w14:paraId="60BAD0A3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289B9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FA01768">
            <w:pPr>
              <w:spacing w:after="0" w:line="240" w:lineRule="auto"/>
            </w:pPr>
            <w:r>
              <w:t>6</w:t>
            </w:r>
          </w:p>
        </w:tc>
        <w:tc>
          <w:tcPr>
            <w:tcW w:w="2127" w:type="dxa"/>
          </w:tcPr>
          <w:p w14:paraId="0BAEA6CF">
            <w:pPr>
              <w:spacing w:after="0" w:line="240" w:lineRule="auto"/>
            </w:pPr>
            <w:r>
              <w:t>Задачи (мах – 3%)</w:t>
            </w:r>
          </w:p>
        </w:tc>
        <w:tc>
          <w:tcPr>
            <w:tcW w:w="2552" w:type="dxa"/>
          </w:tcPr>
          <w:p w14:paraId="46420540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Задачи исследования не указаны ни в явном виде, ни структурно. Автор не формулирует отдельные исследовательские пункты.</w:t>
            </w:r>
          </w:p>
        </w:tc>
        <w:tc>
          <w:tcPr>
            <w:tcW w:w="4393" w:type="dxa"/>
          </w:tcPr>
          <w:p w14:paraId="6DD04EF9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Элемент отсутствует.</w:t>
            </w:r>
          </w:p>
        </w:tc>
        <w:tc>
          <w:tcPr>
            <w:tcW w:w="709" w:type="dxa"/>
          </w:tcPr>
          <w:p w14:paraId="6B72A7C8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1C598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732120BD">
            <w:pPr>
              <w:spacing w:after="0" w:line="240" w:lineRule="auto"/>
            </w:pPr>
            <w:r>
              <w:t>7.</w:t>
            </w:r>
          </w:p>
        </w:tc>
        <w:tc>
          <w:tcPr>
            <w:tcW w:w="2127" w:type="dxa"/>
          </w:tcPr>
          <w:p w14:paraId="58F1EB98">
            <w:pPr>
              <w:spacing w:after="0" w:line="240" w:lineRule="auto"/>
            </w:pPr>
            <w:r>
              <w:t>Объект (мах –  5%)</w:t>
            </w:r>
          </w:p>
        </w:tc>
        <w:tc>
          <w:tcPr>
            <w:tcW w:w="2552" w:type="dxa"/>
          </w:tcPr>
          <w:p w14:paraId="53E806A7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Объектом можно считать правовое регулирование внедрения технологий больших данных в Казахстане.</w:t>
            </w:r>
          </w:p>
        </w:tc>
        <w:tc>
          <w:tcPr>
            <w:tcW w:w="4393" w:type="dxa"/>
          </w:tcPr>
          <w:p w14:paraId="075405BF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Определяется из контекста, но не выделен явно.</w:t>
            </w:r>
          </w:p>
        </w:tc>
        <w:tc>
          <w:tcPr>
            <w:tcW w:w="709" w:type="dxa"/>
          </w:tcPr>
          <w:p w14:paraId="3D6D1208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2</w:t>
            </w:r>
            <w:r>
              <w:rPr>
                <w:bCs w:val="0"/>
              </w:rPr>
              <w:t>%</w:t>
            </w:r>
          </w:p>
        </w:tc>
      </w:tr>
      <w:tr w14:paraId="1CE2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16C6C6B">
            <w:pPr>
              <w:spacing w:after="0" w:line="240" w:lineRule="auto"/>
            </w:pPr>
            <w:r>
              <w:t>8</w:t>
            </w:r>
          </w:p>
        </w:tc>
        <w:tc>
          <w:tcPr>
            <w:tcW w:w="2127" w:type="dxa"/>
          </w:tcPr>
          <w:p w14:paraId="278806A9">
            <w:pPr>
              <w:spacing w:after="0" w:line="240" w:lineRule="auto"/>
            </w:pPr>
            <w:r>
              <w:t>Предмет (мах – 5%)</w:t>
            </w:r>
          </w:p>
        </w:tc>
        <w:tc>
          <w:tcPr>
            <w:tcW w:w="2552" w:type="dxa"/>
          </w:tcPr>
          <w:p w14:paraId="2874474E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Предметом исследования выступают национальные подходы к регламентации Big Data.</w:t>
            </w:r>
          </w:p>
        </w:tc>
        <w:tc>
          <w:tcPr>
            <w:tcW w:w="4393" w:type="dxa"/>
          </w:tcPr>
          <w:p w14:paraId="0FE040DF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Не выделен явно в тексте.</w:t>
            </w:r>
          </w:p>
        </w:tc>
        <w:tc>
          <w:tcPr>
            <w:tcW w:w="709" w:type="dxa"/>
          </w:tcPr>
          <w:p w14:paraId="29257412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17C90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A682688">
            <w:pPr>
              <w:spacing w:after="0" w:line="240" w:lineRule="auto"/>
            </w:pPr>
            <w:r>
              <w:t>9</w:t>
            </w:r>
          </w:p>
        </w:tc>
        <w:tc>
          <w:tcPr>
            <w:tcW w:w="2127" w:type="dxa"/>
          </w:tcPr>
          <w:p w14:paraId="489AF670">
            <w:pPr>
              <w:spacing w:after="0" w:line="240" w:lineRule="auto"/>
            </w:pPr>
            <w:r>
              <w:t xml:space="preserve">Методология </w:t>
            </w:r>
          </w:p>
          <w:p w14:paraId="7BED0804">
            <w:pPr>
              <w:spacing w:after="0" w:line="240" w:lineRule="auto"/>
            </w:pPr>
            <w:r>
              <w:t>(мах – 2%)</w:t>
            </w:r>
          </w:p>
        </w:tc>
        <w:tc>
          <w:tcPr>
            <w:tcW w:w="2552" w:type="dxa"/>
          </w:tcPr>
          <w:p w14:paraId="4F597FC8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Методы исследования не указаны, методологическая база не раскрыта.</w:t>
            </w:r>
          </w:p>
        </w:tc>
        <w:tc>
          <w:tcPr>
            <w:tcW w:w="4393" w:type="dxa"/>
          </w:tcPr>
          <w:p w14:paraId="3787FF16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Отсутствует описание методологии.</w:t>
            </w:r>
          </w:p>
        </w:tc>
        <w:tc>
          <w:tcPr>
            <w:tcW w:w="709" w:type="dxa"/>
          </w:tcPr>
          <w:p w14:paraId="7751CA40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60F49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575591D">
            <w:pPr>
              <w:spacing w:after="0" w:line="240" w:lineRule="auto"/>
            </w:pPr>
            <w:r>
              <w:t>10</w:t>
            </w:r>
          </w:p>
        </w:tc>
        <w:tc>
          <w:tcPr>
            <w:tcW w:w="2127" w:type="dxa"/>
          </w:tcPr>
          <w:p w14:paraId="51E8637C">
            <w:pPr>
              <w:spacing w:after="0" w:line="240" w:lineRule="auto"/>
            </w:pPr>
            <w:r>
              <w:t>Литературный обзор, последовательность изложения</w:t>
            </w:r>
          </w:p>
          <w:p w14:paraId="5B3D5D7E">
            <w:pPr>
              <w:spacing w:after="0" w:line="240" w:lineRule="auto"/>
            </w:pPr>
            <w:r>
              <w:t>(мах – 22%)</w:t>
            </w:r>
          </w:p>
        </w:tc>
        <w:tc>
          <w:tcPr>
            <w:tcW w:w="2552" w:type="dxa"/>
          </w:tcPr>
          <w:p w14:paraId="5C38959F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Автор анализирует нормативные документы: Национальный план развития до 2025 года, Концепцию цифровой трансформации (2023–2029), План развития АО «Национальные информационные технологии». Присутствуют ссылки на работы других авторов — Гончаренко, Рахметова, Клюевой и др.</w:t>
            </w:r>
          </w:p>
        </w:tc>
        <w:tc>
          <w:tcPr>
            <w:tcW w:w="4393" w:type="dxa"/>
          </w:tcPr>
          <w:p w14:paraId="63162537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Обзор представлен частично, с уклоном в официальные источники.</w:t>
            </w:r>
          </w:p>
          <w:p w14:paraId="56F8EF2C">
            <w:pPr>
              <w:spacing w:after="0" w:line="240" w:lineRule="auto"/>
              <w:rPr>
                <w:bCs w:val="0"/>
              </w:rPr>
            </w:pPr>
          </w:p>
          <w:p w14:paraId="01D0CF5B">
            <w:pPr>
              <w:spacing w:after="0" w:line="240" w:lineRule="auto"/>
              <w:jc w:val="right"/>
            </w:pPr>
          </w:p>
        </w:tc>
        <w:tc>
          <w:tcPr>
            <w:tcW w:w="709" w:type="dxa"/>
          </w:tcPr>
          <w:p w14:paraId="42AF7A53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1</w:t>
            </w:r>
            <w:r>
              <w:rPr>
                <w:rFonts w:hint="default"/>
                <w:bCs w:val="0"/>
                <w:lang w:val="ru-RU"/>
              </w:rPr>
              <w:t>5</w:t>
            </w:r>
            <w:r>
              <w:rPr>
                <w:bCs w:val="0"/>
              </w:rPr>
              <w:t>%</w:t>
            </w:r>
          </w:p>
        </w:tc>
      </w:tr>
      <w:tr w14:paraId="1BE7C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2292CDA4">
            <w:pPr>
              <w:spacing w:after="0" w:line="240" w:lineRule="auto"/>
            </w:pPr>
            <w:r>
              <w:t>11</w:t>
            </w:r>
          </w:p>
        </w:tc>
        <w:tc>
          <w:tcPr>
            <w:tcW w:w="2127" w:type="dxa"/>
          </w:tcPr>
          <w:p w14:paraId="74E7D269">
            <w:pPr>
              <w:spacing w:after="0" w:line="240" w:lineRule="auto"/>
            </w:pPr>
            <w:r>
              <w:t xml:space="preserve">Экспериментальная составляющая </w:t>
            </w:r>
          </w:p>
          <w:p w14:paraId="7C7FEB12">
            <w:pPr>
              <w:spacing w:after="0" w:line="240" w:lineRule="auto"/>
            </w:pPr>
            <w:r>
              <w:t>(мах – 27%)</w:t>
            </w:r>
          </w:p>
        </w:tc>
        <w:tc>
          <w:tcPr>
            <w:tcW w:w="2552" w:type="dxa"/>
          </w:tcPr>
          <w:p w14:paraId="526A0527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Практическая часть исследования отсутствует. Работа носит теоретико-аналитический характер.</w:t>
            </w:r>
          </w:p>
        </w:tc>
        <w:tc>
          <w:tcPr>
            <w:tcW w:w="4393" w:type="dxa"/>
          </w:tcPr>
          <w:p w14:paraId="48548D7F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Нет экспериментальных данных.</w:t>
            </w:r>
          </w:p>
        </w:tc>
        <w:tc>
          <w:tcPr>
            <w:tcW w:w="709" w:type="dxa"/>
          </w:tcPr>
          <w:p w14:paraId="6EC5234A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7596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268F371A">
            <w:pPr>
              <w:spacing w:after="0" w:line="240" w:lineRule="auto"/>
            </w:pPr>
            <w:r>
              <w:t>12</w:t>
            </w:r>
          </w:p>
        </w:tc>
        <w:tc>
          <w:tcPr>
            <w:tcW w:w="2127" w:type="dxa"/>
          </w:tcPr>
          <w:p w14:paraId="5F41B8DC">
            <w:pPr>
              <w:spacing w:after="0" w:line="240" w:lineRule="auto"/>
            </w:pPr>
            <w:r>
              <w:t>Заключение</w:t>
            </w:r>
          </w:p>
          <w:p w14:paraId="775DB6A5">
            <w:pPr>
              <w:spacing w:after="0" w:line="240" w:lineRule="auto"/>
            </w:pPr>
            <w:r>
              <w:t xml:space="preserve"> (мах – 5%)</w:t>
            </w:r>
          </w:p>
        </w:tc>
        <w:tc>
          <w:tcPr>
            <w:tcW w:w="2552" w:type="dxa"/>
          </w:tcPr>
          <w:p w14:paraId="6134D944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Автор подчеркивает, что в Казахстане принят широкий перечень актов, регулирующих использование Big Data в различных сферах, и делает вывод: «подобный опыт регламентации на национальном уровне использования больших данных во многих сферах государственной и общественной деятельности имеет потенциал применения и в других государствах-членах Евразийского экономического союза».</w:t>
            </w:r>
          </w:p>
        </w:tc>
        <w:tc>
          <w:tcPr>
            <w:tcW w:w="4393" w:type="dxa"/>
          </w:tcPr>
          <w:p w14:paraId="437FF353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Заключение логично и связано с основной частью.</w:t>
            </w:r>
          </w:p>
        </w:tc>
        <w:tc>
          <w:tcPr>
            <w:tcW w:w="709" w:type="dxa"/>
          </w:tcPr>
          <w:p w14:paraId="1EA68707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4</w:t>
            </w:r>
            <w:r>
              <w:rPr>
                <w:bCs w:val="0"/>
              </w:rPr>
              <w:t>%</w:t>
            </w:r>
          </w:p>
        </w:tc>
      </w:tr>
      <w:tr w14:paraId="412C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894E6D9">
            <w:pPr>
              <w:spacing w:after="0" w:line="240" w:lineRule="auto"/>
            </w:pPr>
            <w:r>
              <w:t>13</w:t>
            </w:r>
          </w:p>
        </w:tc>
        <w:tc>
          <w:tcPr>
            <w:tcW w:w="2127" w:type="dxa"/>
          </w:tcPr>
          <w:p w14:paraId="4368D598">
            <w:pPr>
              <w:spacing w:after="0" w:line="240" w:lineRule="auto"/>
            </w:pPr>
            <w:r>
              <w:t>Качество использованной литературы</w:t>
            </w:r>
          </w:p>
          <w:p w14:paraId="27D6FBFE">
            <w:pPr>
              <w:spacing w:after="0" w:line="240" w:lineRule="auto"/>
            </w:pPr>
            <w:r>
              <w:t>(мах – 5%)</w:t>
            </w:r>
          </w:p>
        </w:tc>
        <w:tc>
          <w:tcPr>
            <w:tcW w:w="2552" w:type="dxa"/>
          </w:tcPr>
          <w:p w14:paraId="7D8DF598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Список литературы включает 7 источников, преимущественно нормативные документы и официальные сайты.</w:t>
            </w:r>
          </w:p>
        </w:tc>
        <w:tc>
          <w:tcPr>
            <w:tcW w:w="4393" w:type="dxa"/>
          </w:tcPr>
          <w:p w14:paraId="4A13BC82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Ссылки оформлены корректно, но научных статей немного.</w:t>
            </w:r>
          </w:p>
        </w:tc>
        <w:tc>
          <w:tcPr>
            <w:tcW w:w="709" w:type="dxa"/>
          </w:tcPr>
          <w:p w14:paraId="72339D77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4%</w:t>
            </w:r>
          </w:p>
        </w:tc>
      </w:tr>
      <w:tr w14:paraId="53C4F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71C2B59E">
            <w:pPr>
              <w:spacing w:after="0" w:line="240" w:lineRule="auto"/>
            </w:pPr>
            <w:r>
              <w:t>14</w:t>
            </w:r>
          </w:p>
        </w:tc>
        <w:tc>
          <w:tcPr>
            <w:tcW w:w="2127" w:type="dxa"/>
          </w:tcPr>
          <w:p w14:paraId="55BE5EF1">
            <w:pPr>
              <w:spacing w:after="0" w:line="240" w:lineRule="auto"/>
            </w:pPr>
            <w:r>
              <w:t xml:space="preserve">Структурные компоненты </w:t>
            </w:r>
          </w:p>
          <w:p w14:paraId="034D16CD">
            <w:pPr>
              <w:spacing w:after="0" w:line="240" w:lineRule="auto"/>
            </w:pPr>
            <w:r>
              <w:t>(мах – 2 %)</w:t>
            </w:r>
          </w:p>
        </w:tc>
        <w:tc>
          <w:tcPr>
            <w:tcW w:w="2552" w:type="dxa"/>
          </w:tcPr>
          <w:p w14:paraId="3F706262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Выделены введение, основная часть и заключение. Текст структурирован.</w:t>
            </w:r>
          </w:p>
        </w:tc>
        <w:tc>
          <w:tcPr>
            <w:tcW w:w="4393" w:type="dxa"/>
          </w:tcPr>
          <w:p w14:paraId="557B0E03">
            <w:pPr>
              <w:spacing w:after="0" w:line="240" w:lineRule="auto"/>
              <w:jc w:val="both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Структура выдержана.</w:t>
            </w:r>
          </w:p>
        </w:tc>
        <w:tc>
          <w:tcPr>
            <w:tcW w:w="709" w:type="dxa"/>
          </w:tcPr>
          <w:p w14:paraId="6CD573B6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2%</w:t>
            </w:r>
          </w:p>
        </w:tc>
      </w:tr>
      <w:tr w14:paraId="69E75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46979766">
            <w:pPr>
              <w:spacing w:after="0" w:line="240" w:lineRule="auto"/>
            </w:pPr>
            <w:r>
              <w:t>15</w:t>
            </w:r>
          </w:p>
        </w:tc>
        <w:tc>
          <w:tcPr>
            <w:tcW w:w="2127" w:type="dxa"/>
          </w:tcPr>
          <w:p w14:paraId="40980769">
            <w:pPr>
              <w:spacing w:after="0" w:line="240" w:lineRule="auto"/>
            </w:pPr>
            <w:r>
              <w:t>Частота использования клише и оборотов, характерных для научного стиля</w:t>
            </w:r>
          </w:p>
          <w:p w14:paraId="23611B71">
            <w:pPr>
              <w:spacing w:after="0" w:line="240" w:lineRule="auto"/>
            </w:pPr>
            <w:r>
              <w:t>(мах – 2%)</w:t>
            </w:r>
          </w:p>
        </w:tc>
        <w:tc>
          <w:tcPr>
            <w:tcW w:w="2552" w:type="dxa"/>
          </w:tcPr>
          <w:p w14:paraId="5F667ECA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Используются выражения «следует отметить», «как указывают некоторые авторы», типичные для научного стиля.</w:t>
            </w:r>
          </w:p>
        </w:tc>
        <w:tc>
          <w:tcPr>
            <w:tcW w:w="4393" w:type="dxa"/>
          </w:tcPr>
          <w:p w14:paraId="7A1AE2D2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Клише применяются уместно.</w:t>
            </w:r>
          </w:p>
        </w:tc>
        <w:tc>
          <w:tcPr>
            <w:tcW w:w="709" w:type="dxa"/>
          </w:tcPr>
          <w:p w14:paraId="747C9184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2</w:t>
            </w:r>
            <w:r>
              <w:rPr>
                <w:bCs w:val="0"/>
              </w:rPr>
              <w:t>%</w:t>
            </w:r>
          </w:p>
        </w:tc>
      </w:tr>
      <w:tr w14:paraId="3BB9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6C3EF70A">
            <w:pPr>
              <w:spacing w:after="0" w:line="240" w:lineRule="auto"/>
            </w:pPr>
            <w:r>
              <w:t>16</w:t>
            </w:r>
          </w:p>
        </w:tc>
        <w:tc>
          <w:tcPr>
            <w:tcW w:w="2127" w:type="dxa"/>
          </w:tcPr>
          <w:p w14:paraId="46982914">
            <w:pPr>
              <w:spacing w:after="0" w:line="240" w:lineRule="auto"/>
            </w:pPr>
            <w:r>
              <w:t xml:space="preserve">Язык статьи, общая стилистика (мах – 5%) </w:t>
            </w:r>
          </w:p>
        </w:tc>
        <w:tc>
          <w:tcPr>
            <w:tcW w:w="2552" w:type="dxa"/>
          </w:tcPr>
          <w:p w14:paraId="566CB437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Текст написан в академическом стиле с использованием юридической и технической терминологии.</w:t>
            </w:r>
          </w:p>
        </w:tc>
        <w:tc>
          <w:tcPr>
            <w:tcW w:w="4393" w:type="dxa"/>
          </w:tcPr>
          <w:p w14:paraId="234A748E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Соответствует научному жанру.</w:t>
            </w:r>
          </w:p>
        </w:tc>
        <w:tc>
          <w:tcPr>
            <w:tcW w:w="709" w:type="dxa"/>
          </w:tcPr>
          <w:p w14:paraId="7A662581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5</w:t>
            </w:r>
            <w:r>
              <w:rPr>
                <w:bCs w:val="0"/>
              </w:rPr>
              <w:t>%</w:t>
            </w:r>
          </w:p>
        </w:tc>
      </w:tr>
      <w:tr w14:paraId="2BF0F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D895308">
            <w:pPr>
              <w:spacing w:after="0" w:line="240" w:lineRule="auto"/>
            </w:pPr>
            <w:r>
              <w:t>17</w:t>
            </w:r>
          </w:p>
        </w:tc>
        <w:tc>
          <w:tcPr>
            <w:tcW w:w="9072" w:type="dxa"/>
            <w:gridSpan w:val="3"/>
          </w:tcPr>
          <w:p w14:paraId="7843485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Итого: КПД (результативность, эффективность работы) </w:t>
            </w:r>
          </w:p>
        </w:tc>
        <w:tc>
          <w:tcPr>
            <w:tcW w:w="709" w:type="dxa"/>
          </w:tcPr>
          <w:p w14:paraId="483B747E">
            <w:pPr>
              <w:spacing w:after="0" w:line="240" w:lineRule="auto"/>
              <w:rPr>
                <w:b/>
              </w:rPr>
            </w:pPr>
            <w:r>
              <w:rPr>
                <w:rFonts w:hint="default"/>
                <w:b/>
                <w:lang w:val="ru-RU"/>
              </w:rPr>
              <w:t>46</w:t>
            </w:r>
            <w:r>
              <w:rPr>
                <w:b/>
              </w:rPr>
              <w:t>%</w:t>
            </w:r>
          </w:p>
        </w:tc>
      </w:tr>
    </w:tbl>
    <w:p w14:paraId="55547DF6">
      <w:pPr>
        <w:spacing w:after="0" w:line="240" w:lineRule="auto"/>
      </w:pPr>
    </w:p>
    <w:p w14:paraId="672AB059">
      <w:pPr>
        <w:spacing w:after="0" w:line="240" w:lineRule="auto"/>
        <w:rPr>
          <w:b/>
          <w:bCs w:val="0"/>
        </w:rPr>
      </w:pPr>
      <w:r>
        <w:rPr>
          <w:b/>
          <w:bCs w:val="0"/>
        </w:rPr>
        <w:t>Заключение и оценка:</w:t>
      </w:r>
    </w:p>
    <w:p w14:paraId="05D6EA6A">
      <w:pPr>
        <w:spacing w:after="0" w:line="240" w:lineRule="auto"/>
      </w:pPr>
    </w:p>
    <w:p w14:paraId="79C72CB9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Проведённый анализ показал, что статья «Национальные подходы Республики Казахстан к регламентации и внедрению в гражданский оборот технологии больших данных (Big Data) в условиях цифровизации» имеет высокую теоретическую ценность, но частично не соответствует академическим требованиям. В тексте отсутствуют цель, задачи и методология исследования, что снижает полноту структуры. Тем не менее работа отличается логичностью, богатым фактическим материалом и качественной терминологией. КПД по результатам анализа — 46%.</w:t>
      </w:r>
    </w:p>
    <w:p w14:paraId="400CC80F">
      <w:pPr>
        <w:spacing w:after="0" w:line="240" w:lineRule="auto"/>
      </w:pPr>
    </w:p>
    <w:p w14:paraId="633EB506">
      <w:bookmarkStart w:id="0" w:name="_GoBack"/>
      <w:bookmarkEnd w:id="0"/>
    </w:p>
    <w:sectPr>
      <w:pgSz w:w="11906" w:h="16838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CB3"/>
    <w:rsid w:val="000F34B6"/>
    <w:rsid w:val="0019362E"/>
    <w:rsid w:val="001A2B48"/>
    <w:rsid w:val="005B734F"/>
    <w:rsid w:val="005E6534"/>
    <w:rsid w:val="00A43688"/>
    <w:rsid w:val="00A50086"/>
    <w:rsid w:val="00B03A1F"/>
    <w:rsid w:val="00B23CB3"/>
    <w:rsid w:val="00D92127"/>
    <w:rsid w:val="00E10B52"/>
    <w:rsid w:val="00E65259"/>
    <w:rsid w:val="399B0859"/>
    <w:rsid w:val="3A5B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bCs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1545</Words>
  <Characters>8808</Characters>
  <Lines>73</Lines>
  <Paragraphs>20</Paragraphs>
  <TotalTime>0</TotalTime>
  <ScaleCrop>false</ScaleCrop>
  <LinksUpToDate>false</LinksUpToDate>
  <CharactersWithSpaces>10333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2025-10-01T11:21:00Z</dcterms:created>
  <dc:creator>admin</dc:creator>
  <cp:lastModifiedBy>Дмитрий Ведерни�</cp:lastModifiedBy>
  <dcterms:modified xsi:type="dcterms:W3CDTF">2025-10-09T18:20:43Z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DC77F096822143528AB08058AF4D2F7B_12</vt:lpwstr>
  </property>
</Properties>
</file>