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37AF6">
      <w:pPr>
        <w:spacing w:after="0" w:line="240" w:lineRule="auto"/>
        <w:jc w:val="right"/>
        <w:rPr>
          <w:rFonts w:hint="default" w:ascii="Times New Roman" w:hAnsi="Times New Roman"/>
          <w:lang w:val="kk-KZ"/>
        </w:rPr>
      </w:pPr>
      <w:r>
        <w:rPr>
          <w:rFonts w:hint="default" w:ascii="Times New Roman" w:hAnsi="Times New Roman"/>
          <w:lang w:val="kk-KZ"/>
        </w:rPr>
        <w:t>Ведерников Дмитрий</w:t>
      </w:r>
    </w:p>
    <w:p w14:paraId="360246E3">
      <w:pPr>
        <w:spacing w:after="0" w:line="240" w:lineRule="auto"/>
        <w:jc w:val="right"/>
        <w:rPr>
          <w:rFonts w:hint="default" w:ascii="Times New Roman" w:hAnsi="Times New Roman"/>
          <w:lang w:val="kk-KZ"/>
        </w:rPr>
      </w:pPr>
      <w:r>
        <w:rPr>
          <w:rFonts w:hint="default" w:ascii="Times New Roman" w:hAnsi="Times New Roman"/>
          <w:lang w:val="kk-KZ"/>
        </w:rPr>
        <w:t>Группа ИС 252(3)</w:t>
      </w:r>
    </w:p>
    <w:p w14:paraId="7F40E3FC">
      <w:pPr>
        <w:spacing w:after="0" w:line="240" w:lineRule="auto"/>
        <w:jc w:val="right"/>
        <w:rPr>
          <w:rFonts w:hint="default" w:ascii="Times New Roman" w:hAnsi="Times New Roman"/>
          <w:lang w:val="kk-KZ"/>
        </w:rPr>
      </w:pPr>
      <w:r>
        <w:rPr>
          <w:rFonts w:hint="default" w:ascii="Times New Roman" w:hAnsi="Times New Roman"/>
          <w:lang w:val="kk-KZ"/>
        </w:rPr>
        <w:t xml:space="preserve">Задание </w:t>
      </w:r>
      <w:r>
        <w:rPr>
          <w:rFonts w:hint="default" w:ascii="Times New Roman" w:hAnsi="Times New Roman"/>
          <w:lang w:val="en-US"/>
        </w:rPr>
        <w:t>8</w:t>
      </w:r>
      <w:r>
        <w:rPr>
          <w:rFonts w:hint="default" w:ascii="Times New Roman" w:hAnsi="Times New Roman"/>
          <w:lang w:val="kk-KZ"/>
        </w:rPr>
        <w:t xml:space="preserve"> по Акаде</w:t>
      </w:r>
      <w:r>
        <w:rPr>
          <w:rFonts w:hint="default" w:ascii="Times New Roman" w:hAnsi="Times New Roman"/>
          <w:lang w:val="ru-RU"/>
        </w:rPr>
        <w:t>мическому</w:t>
      </w:r>
      <w:r>
        <w:rPr>
          <w:rFonts w:hint="default" w:ascii="Times New Roman" w:hAnsi="Times New Roman"/>
          <w:lang w:val="kk-KZ"/>
        </w:rPr>
        <w:t xml:space="preserve"> письму.</w:t>
      </w:r>
    </w:p>
    <w:p w14:paraId="3DF30FA6">
      <w:pPr>
        <w:jc w:val="right"/>
        <w:rPr>
          <w:rFonts w:hint="default" w:ascii="Times New Roman" w:hAnsi="Times New Roman"/>
          <w:lang w:val="kk-KZ"/>
        </w:rPr>
      </w:pPr>
      <w:r>
        <w:rPr>
          <w:rFonts w:hint="default" w:ascii="Times New Roman" w:hAnsi="Times New Roman"/>
          <w:lang w:val="kk-KZ"/>
        </w:rPr>
        <w:t>Подготовка аналитического обзора</w:t>
      </w:r>
      <w:r>
        <w:rPr>
          <w:rFonts w:hint="default" w:ascii="Times New Roman" w:hAnsi="Times New Roman"/>
          <w:lang w:val="kk-KZ"/>
        </w:rPr>
        <w:br w:type="textWrapping"/>
      </w:r>
      <w:r>
        <w:rPr>
          <w:rFonts w:hint="default" w:ascii="Times New Roman" w:hAnsi="Times New Roman"/>
          <w:lang w:val="kk-KZ"/>
        </w:rPr>
        <w:t xml:space="preserve"> литературы по теме исследования</w:t>
      </w:r>
    </w:p>
    <w:p w14:paraId="216D13F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Литературный обзор</w:t>
      </w:r>
    </w:p>
    <w:p w14:paraId="484755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 исследования: </w:t>
      </w:r>
      <w:r>
        <w:rPr>
          <w:rFonts w:hint="default" w:ascii="Times New Roman" w:hAnsi="Times New Roman"/>
          <w:sz w:val="28"/>
          <w:szCs w:val="28"/>
        </w:rPr>
        <w:t>ИСПОЛЬЗОВАНИЕ СТУДЕНТАМИ ТУРАНА ИНСТРУМЕНТОВ КИБЕРБЕЗОПАСНОСТИ</w:t>
      </w:r>
    </w:p>
    <w:p w14:paraId="10A39FBF">
      <w:pPr>
        <w:rPr>
          <w:rFonts w:ascii="Times New Roman" w:hAnsi="Times New Roman" w:cs="Times New Roman"/>
          <w:sz w:val="28"/>
          <w:szCs w:val="28"/>
        </w:rPr>
      </w:pPr>
    </w:p>
    <w:p w14:paraId="332206C6">
      <w:pPr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Данной проблемой занимались  следующие исследователи:</w:t>
      </w:r>
    </w:p>
    <w:p w14:paraId="7CB40EBE">
      <w:pPr>
        <w:pStyle w:val="14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1) Закирова А.Х., Маханбетчин Р.Р. (2023). Контуры современного образования: оценка цифровых навыков студентов. Вестник университета «Туран», 2(98), 110–117.</w:t>
      </w:r>
      <w:r>
        <w:rPr>
          <w:rFonts w:hint="default" w:ascii="Times New Roman" w:hAnsi="Times New Roman"/>
          <w:sz w:val="28"/>
          <w:szCs w:val="28"/>
        </w:rPr>
        <w:br w:type="textWrapping"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URL: </w:t>
      </w:r>
      <w:r>
        <w:rPr>
          <w:rFonts w:hint="default" w:ascii="Times New Roman" w:hAnsi="Times New Roman"/>
          <w:sz w:val="28"/>
          <w:szCs w:val="28"/>
        </w:rPr>
        <w:fldChar w:fldCharType="begin"/>
      </w:r>
      <w:r>
        <w:rPr>
          <w:rFonts w:hint="default" w:ascii="Times New Roman" w:hAnsi="Times New Roman"/>
          <w:sz w:val="28"/>
          <w:szCs w:val="28"/>
        </w:rPr>
        <w:instrText xml:space="preserve"> HYPERLINK "https://vestnik.turan-edu.kz/jour/article/view/3851?locale=ru_RU" </w:instrText>
      </w:r>
      <w:r>
        <w:rPr>
          <w:rFonts w:hint="default" w:ascii="Times New Roman" w:hAnsi="Times New Roman"/>
          <w:sz w:val="28"/>
          <w:szCs w:val="28"/>
        </w:rPr>
        <w:fldChar w:fldCharType="separate"/>
      </w:r>
      <w:r>
        <w:rPr>
          <w:rStyle w:val="8"/>
          <w:rFonts w:hint="default" w:ascii="Times New Roman" w:hAnsi="Times New Roman"/>
          <w:sz w:val="28"/>
          <w:szCs w:val="28"/>
        </w:rPr>
        <w:t>https://vestnik.turan-edu.kz/jour/article/view/3851?locale=ru_RU</w:t>
      </w:r>
      <w:r>
        <w:rPr>
          <w:rFonts w:hint="default" w:ascii="Times New Roman" w:hAnsi="Times New Roman"/>
          <w:sz w:val="28"/>
          <w:szCs w:val="28"/>
        </w:rPr>
        <w:fldChar w:fldCharType="end"/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br w:type="textWrapping"/>
      </w:r>
    </w:p>
    <w:p w14:paraId="49CF60FF">
      <w:pPr>
        <w:pStyle w:val="14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2) Горева О.М., Толстоухова И.В. (2020). Формирование цифровой грамотности студентов вуза. Вестник Сургутского государственного педагогического университета, (4), 110–117. </w:t>
      </w:r>
    </w:p>
    <w:p w14:paraId="7CDCFE7A">
      <w:pPr>
        <w:pStyle w:val="14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URL: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fldChar w:fldCharType="begin"/>
      </w:r>
      <w:r>
        <w:rPr>
          <w:rFonts w:hint="default" w:ascii="Times New Roman" w:hAnsi="Times New Roman"/>
          <w:sz w:val="28"/>
          <w:szCs w:val="28"/>
        </w:rPr>
        <w:instrText xml:space="preserve"> HYPERLINK "https://vestniksurgpu.elpub.ru/jour/article/view/201" </w:instrText>
      </w:r>
      <w:r>
        <w:rPr>
          <w:rFonts w:hint="default" w:ascii="Times New Roman" w:hAnsi="Times New Roman"/>
          <w:sz w:val="28"/>
          <w:szCs w:val="28"/>
        </w:rPr>
        <w:fldChar w:fldCharType="separate"/>
      </w:r>
      <w:r>
        <w:rPr>
          <w:rStyle w:val="6"/>
          <w:rFonts w:hint="default" w:ascii="Times New Roman" w:hAnsi="Times New Roman"/>
          <w:sz w:val="28"/>
          <w:szCs w:val="28"/>
        </w:rPr>
        <w:t>https://vestniksurgpu.elpub.ru/jour/article/view/201</w:t>
      </w:r>
      <w:r>
        <w:rPr>
          <w:rFonts w:hint="default" w:ascii="Times New Roman" w:hAnsi="Times New Roman"/>
          <w:sz w:val="28"/>
          <w:szCs w:val="28"/>
        </w:rPr>
        <w:fldChar w:fldCharType="end"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br w:type="textWrapping"/>
      </w:r>
    </w:p>
    <w:p w14:paraId="1E9237FD">
      <w:pPr>
        <w:pStyle w:val="14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3) Ломовская С.А., Синогина Е.С. (2024). Риски современного интернет-пространства: результаты эмпирического исследования среди студентов педагогического вуза. Цифровая гуманитаристика и технологии в образовании (DHTE 2024), 401–410. </w:t>
      </w:r>
    </w:p>
    <w:p w14:paraId="2B55B968">
      <w:pPr>
        <w:pStyle w:val="14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en-US"/>
        </w:rPr>
        <w:t>URL:</w:t>
      </w:r>
      <w:r>
        <w:rPr>
          <w:rFonts w:hint="default" w:ascii="Times New Roman" w:hAnsi="Times New Roman"/>
          <w:sz w:val="28"/>
          <w:szCs w:val="28"/>
        </w:rPr>
        <w:fldChar w:fldCharType="begin"/>
      </w:r>
      <w:r>
        <w:rPr>
          <w:rFonts w:hint="default" w:ascii="Times New Roman" w:hAnsi="Times New Roman"/>
          <w:sz w:val="28"/>
          <w:szCs w:val="28"/>
        </w:rPr>
        <w:instrText xml:space="preserve"> HYPERLINK "https://psyjournals.ru/nonserialpublications/dhte2024/contents/Lomovskaya_Sinogina" </w:instrText>
      </w:r>
      <w:r>
        <w:rPr>
          <w:rFonts w:hint="default" w:ascii="Times New Roman" w:hAnsi="Times New Roman"/>
          <w:sz w:val="28"/>
          <w:szCs w:val="28"/>
        </w:rPr>
        <w:fldChar w:fldCharType="separate"/>
      </w:r>
      <w:r>
        <w:rPr>
          <w:rStyle w:val="6"/>
          <w:rFonts w:hint="default" w:ascii="Times New Roman" w:hAnsi="Times New Roman"/>
          <w:sz w:val="28"/>
          <w:szCs w:val="28"/>
        </w:rPr>
        <w:t>https://psyjournals.ru/nonserialpublications/dhte2024/contents/Lomovskaya_Sinogina</w:t>
      </w:r>
      <w:r>
        <w:rPr>
          <w:rFonts w:hint="default" w:ascii="Times New Roman" w:hAnsi="Times New Roman"/>
          <w:sz w:val="28"/>
          <w:szCs w:val="28"/>
        </w:rPr>
        <w:fldChar w:fldCharType="end"/>
      </w:r>
      <w:r>
        <w:rPr>
          <w:rFonts w:hint="default" w:ascii="Times New Roman" w:hAnsi="Times New Roman"/>
          <w:sz w:val="28"/>
          <w:szCs w:val="28"/>
        </w:rPr>
        <w:br w:type="textWrapping"/>
      </w:r>
    </w:p>
    <w:p w14:paraId="743A4355">
      <w:pPr>
        <w:pStyle w:val="14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4) Петров А.В. (2024). Применение искусственного интеллекта в кибербезопасности: возможности и угрозы. Актуальные проблемы науки и практики, (1), 45–53.</w:t>
      </w:r>
    </w:p>
    <w:p w14:paraId="652F5968">
      <w:pPr>
        <w:pStyle w:val="14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URL: </w:t>
      </w:r>
      <w:r>
        <w:rPr>
          <w:rFonts w:hint="default" w:ascii="Times New Roman" w:hAnsi="Times New Roman"/>
          <w:sz w:val="28"/>
          <w:szCs w:val="28"/>
        </w:rPr>
        <w:fldChar w:fldCharType="begin"/>
      </w:r>
      <w:r>
        <w:rPr>
          <w:rFonts w:hint="default" w:ascii="Times New Roman" w:hAnsi="Times New Roman"/>
          <w:sz w:val="28"/>
          <w:szCs w:val="28"/>
        </w:rPr>
        <w:instrText xml:space="preserve"> HYPERLINK "https://apni.ru/article/12894-primenenie-iskusstvennogo-intellekta-v-kiberbezopasnosti-vozmozhnosti-i-ugrozy" </w:instrText>
      </w:r>
      <w:r>
        <w:rPr>
          <w:rFonts w:hint="default" w:ascii="Times New Roman" w:hAnsi="Times New Roman"/>
          <w:sz w:val="28"/>
          <w:szCs w:val="28"/>
        </w:rPr>
        <w:fldChar w:fldCharType="separate"/>
      </w:r>
      <w:r>
        <w:rPr>
          <w:rStyle w:val="8"/>
          <w:rFonts w:hint="default" w:ascii="Times New Roman" w:hAnsi="Times New Roman"/>
          <w:sz w:val="28"/>
          <w:szCs w:val="28"/>
        </w:rPr>
        <w:t>https://apni.ru/article/12894-primenenie-iskusstvennogo-intellekta-v-kiberbezopasnosti-vozmozhnosti-i-ugrozy</w:t>
      </w:r>
      <w:r>
        <w:rPr>
          <w:rFonts w:hint="default" w:ascii="Times New Roman" w:hAnsi="Times New Roman"/>
          <w:sz w:val="28"/>
          <w:szCs w:val="28"/>
        </w:rPr>
        <w:fldChar w:fldCharType="end"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br w:type="textWrapping"/>
      </w:r>
    </w:p>
    <w:p w14:paraId="2F2AF253">
      <w:pPr>
        <w:pStyle w:val="14"/>
        <w:numPr>
          <w:ilvl w:val="0"/>
          <w:numId w:val="1"/>
        </w:numPr>
      </w:pPr>
      <w:r>
        <w:rPr>
          <w:rFonts w:hint="default" w:ascii="Times New Roman" w:hAnsi="Times New Roman"/>
          <w:sz w:val="28"/>
          <w:szCs w:val="28"/>
        </w:rPr>
        <w:t>Ахметов Б.Б., Лахно В.А. (2022). Защита информации и кибербезопасность цифровой образовательной среды высшей школы. Вестник Алматинского университета энергетики и связи им. Г.Даукеева, 120(1), 134–141.</w:t>
      </w:r>
      <w:r>
        <w:rPr>
          <w:rFonts w:hint="default" w:ascii="Times New Roman" w:hAnsi="Times New Roman"/>
          <w:sz w:val="28"/>
          <w:szCs w:val="28"/>
        </w:rPr>
        <w:cr/>
      </w:r>
      <w:r>
        <w:rPr>
          <w:rFonts w:hint="default" w:ascii="Times New Roman" w:hAnsi="Times New Roman"/>
          <w:sz w:val="28"/>
          <w:szCs w:val="28"/>
        </w:rPr>
        <w:t> </w:t>
      </w:r>
    </w:p>
    <w:p w14:paraId="274E0C4C">
      <w:pPr>
        <w:pStyle w:val="14"/>
        <w:numPr>
          <w:ilvl w:val="0"/>
          <w:numId w:val="0"/>
        </w:num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en-US"/>
        </w:rPr>
        <w:t>URL:</w:t>
      </w:r>
      <w:r>
        <w:rPr>
          <w:rFonts w:hint="default" w:ascii="Times New Roman" w:hAnsi="Times New Roman"/>
          <w:sz w:val="28"/>
          <w:szCs w:val="28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fldChar w:fldCharType="begin"/>
      </w:r>
      <w:r>
        <w:rPr>
          <w:rFonts w:hint="default" w:ascii="Times New Roman" w:hAnsi="Times New Roman"/>
          <w:sz w:val="28"/>
          <w:szCs w:val="28"/>
        </w:rPr>
        <w:instrText xml:space="preserve"> HYPERLINK "https://vestnik.alt.edu.kz/index.php/journal/article/view/346" </w:instrText>
      </w:r>
      <w:r>
        <w:rPr>
          <w:rFonts w:hint="default" w:ascii="Times New Roman" w:hAnsi="Times New Roman"/>
          <w:sz w:val="28"/>
          <w:szCs w:val="28"/>
        </w:rPr>
        <w:fldChar w:fldCharType="separate"/>
      </w:r>
      <w:r>
        <w:rPr>
          <w:rStyle w:val="8"/>
          <w:rFonts w:hint="default" w:ascii="Times New Roman" w:hAnsi="Times New Roman"/>
          <w:sz w:val="28"/>
          <w:szCs w:val="28"/>
        </w:rPr>
        <w:t>https://vestnik.alt.edu.kz/index.php/journal/article/view/346</w:t>
      </w:r>
      <w:r>
        <w:rPr>
          <w:rFonts w:hint="default" w:ascii="Times New Roman" w:hAnsi="Times New Roman"/>
          <w:sz w:val="28"/>
          <w:szCs w:val="28"/>
        </w:rPr>
        <w:fldChar w:fldCharType="end"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br w:type="textWrapping"/>
      </w:r>
    </w:p>
    <w:p w14:paraId="56F26C9F">
      <w:pPr>
        <w:pStyle w:val="14"/>
        <w:numPr>
          <w:ilvl w:val="0"/>
          <w:numId w:val="1"/>
        </w:numPr>
        <w:ind w:left="720" w:leftChars="0" w:firstLine="0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Васева Е.С., Бужинская Н.В. (2021). Особенности формирования профессиональной компетентности будущих специалистов ИТ-сферы в условиях цифровой трансформации экономики. Вестник Алтайского государственного педагогического университета, (1), 28–33.</w:t>
      </w:r>
    </w:p>
    <w:p w14:paraId="436A483D">
      <w:pPr>
        <w:pStyle w:val="14"/>
        <w:numPr>
          <w:ilvl w:val="0"/>
          <w:numId w:val="0"/>
        </w:numPr>
        <w:ind w:firstLine="708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URL: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fldChar w:fldCharType="begin"/>
      </w:r>
      <w:r>
        <w:rPr>
          <w:rFonts w:hint="default" w:ascii="Times New Roman" w:hAnsi="Times New Roman"/>
          <w:sz w:val="28"/>
          <w:szCs w:val="28"/>
        </w:rPr>
        <w:instrText xml:space="preserve"> HYPERLINK "https://journals-altspu.ru/vestnik/article/view/1537" </w:instrText>
      </w:r>
      <w:r>
        <w:rPr>
          <w:rFonts w:hint="default" w:ascii="Times New Roman" w:hAnsi="Times New Roman"/>
          <w:sz w:val="28"/>
          <w:szCs w:val="28"/>
        </w:rPr>
        <w:fldChar w:fldCharType="separate"/>
      </w:r>
      <w:r>
        <w:rPr>
          <w:rStyle w:val="8"/>
          <w:rFonts w:hint="default" w:ascii="Times New Roman" w:hAnsi="Times New Roman"/>
          <w:sz w:val="28"/>
          <w:szCs w:val="28"/>
        </w:rPr>
        <w:t>https://journals-altspu.ru/vestnik/article/view/1537</w:t>
      </w:r>
      <w:r>
        <w:rPr>
          <w:rFonts w:hint="default" w:ascii="Times New Roman" w:hAnsi="Times New Roman"/>
          <w:sz w:val="28"/>
          <w:szCs w:val="28"/>
        </w:rPr>
        <w:fldChar w:fldCharType="end"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br w:type="textWrapping"/>
      </w:r>
    </w:p>
    <w:p w14:paraId="18E37868">
      <w:pPr>
        <w:pStyle w:val="14"/>
        <w:numPr>
          <w:ilvl w:val="0"/>
          <w:numId w:val="1"/>
        </w:numPr>
        <w:ind w:left="720" w:leftChars="0" w:firstLine="0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Иманкулова М.М. (2025). Методы повышения цифровой компетентности студентов казахстанских вузов.Вестник КазНУ. Серия «Филология и искусствоведение», (2), 90–97.</w:t>
      </w:r>
    </w:p>
    <w:p w14:paraId="71A90679">
      <w:pPr>
        <w:pStyle w:val="14"/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</w:rPr>
        <w:t>URL: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fldChar w:fldCharType="begin"/>
      </w:r>
      <w:r>
        <w:rPr>
          <w:rFonts w:hint="default" w:ascii="Times New Roman" w:hAnsi="Times New Roman"/>
          <w:sz w:val="28"/>
          <w:szCs w:val="28"/>
        </w:rPr>
        <w:instrText xml:space="preserve"> HYPERLINK "https://philart.kaznu.kz/index.php/1-FIL/article/view/5035" </w:instrText>
      </w:r>
      <w:r>
        <w:rPr>
          <w:rFonts w:hint="default" w:ascii="Times New Roman" w:hAnsi="Times New Roman"/>
          <w:sz w:val="28"/>
          <w:szCs w:val="28"/>
        </w:rPr>
        <w:fldChar w:fldCharType="separate"/>
      </w:r>
      <w:r>
        <w:rPr>
          <w:rStyle w:val="8"/>
          <w:rFonts w:hint="default" w:ascii="Times New Roman" w:hAnsi="Times New Roman"/>
          <w:sz w:val="28"/>
          <w:szCs w:val="28"/>
        </w:rPr>
        <w:t>https://philart.kaznu.kz/index.php/1-FIL/article/view/5035</w:t>
      </w:r>
      <w:r>
        <w:rPr>
          <w:rFonts w:hint="default" w:ascii="Times New Roman" w:hAnsi="Times New Roman"/>
          <w:sz w:val="28"/>
          <w:szCs w:val="28"/>
        </w:rPr>
        <w:fldChar w:fldCharType="end"/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</w:p>
    <w:p w14:paraId="5FCCFC2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Степень академичности предложенных источников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6A6DEC10">
      <w:pPr>
        <w:pStyle w:val="1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Фундаментальный академический источник (научная статья, рецензируемый журнал) —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Закирова А.Х., Маханбетчин Р.Р. (2023). Контуры современного образования: оценка цифровых навыков студентов. Вестник университета «Туран».Фундаментальный академический источник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(статья)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</w:p>
    <w:p w14:paraId="0B3A9636">
      <w:pPr>
        <w:pStyle w:val="1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Фундаментальный академический источник (научная статья, педагогический журнал) —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Горева О.М., Толстоухова И.В. (2020). Формирование цифровой грамотности студентов вуза. Вестник Сургутского государственного педагогического университета.</w:t>
      </w:r>
      <w:r>
        <w:rPr>
          <w:rFonts w:hint="default" w:ascii="Times New Roman" w:hAnsi="Times New Roman"/>
          <w:sz w:val="28"/>
          <w:szCs w:val="28"/>
        </w:rPr>
        <w:br w:type="textWrapping"/>
      </w:r>
    </w:p>
    <w:p w14:paraId="20E02922">
      <w:pPr>
        <w:pStyle w:val="1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Общественное или субъективное мнение по вопросу исследования (эмпирические наблюдения, интервью, мнения студентов)Ломовская С.А., </w:t>
      </w:r>
      <w:bookmarkStart w:id="0" w:name="_GoBack"/>
      <w:bookmarkEnd w:id="0"/>
      <w:r>
        <w:rPr>
          <w:rFonts w:hint="default" w:ascii="Times New Roman" w:hAnsi="Times New Roman"/>
          <w:sz w:val="28"/>
          <w:szCs w:val="28"/>
        </w:rPr>
        <w:t>Синогина Е.С. (2024). Риски современного интернет-пространства: результаты эмпирического исследования среди студентов педагогического вуза.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</w:p>
    <w:p w14:paraId="50D1D64B">
      <w:pPr>
        <w:pStyle w:val="1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Фундаментальный академический источник (научная статья в профильном журнале) —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Петров А.В. (2024). Применение искусственного интеллекта в кибербезопасности: возможности и угрозы.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</w:p>
    <w:p w14:paraId="3C4EB2A4">
      <w:pPr>
        <w:pStyle w:val="1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Фундаментальный академический источник (практическая академическая статья с DOI) —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Ахметов Б.Б., Лахно В.А. (2022). Защита информации и кибербезопасность цифровой образовательной среды высшей школы. Вестник АУЭС им. Г. Даукеева.</w:t>
      </w:r>
      <w:r>
        <w:rPr>
          <w:rFonts w:hint="default" w:ascii="Times New Roman" w:hAnsi="Times New Roman"/>
          <w:sz w:val="28"/>
          <w:szCs w:val="28"/>
        </w:rPr>
        <w:br w:type="textWrapping"/>
      </w:r>
      <w:r>
        <w:rPr>
          <w:rFonts w:hint="default" w:ascii="Times New Roman" w:hAnsi="Times New Roman"/>
          <w:sz w:val="28"/>
          <w:szCs w:val="28"/>
        </w:rPr>
        <w:br w:type="textWrapping"/>
      </w:r>
      <w:r>
        <w:rPr>
          <w:rFonts w:hint="default" w:ascii="Times New Roman" w:hAnsi="Times New Roman"/>
          <w:sz w:val="28"/>
          <w:szCs w:val="28"/>
        </w:rPr>
        <w:br w:type="textWrapping"/>
      </w:r>
      <w:r>
        <w:rPr>
          <w:rFonts w:hint="default" w:ascii="Times New Roman" w:hAnsi="Times New Roman"/>
          <w:sz w:val="28"/>
          <w:szCs w:val="28"/>
        </w:rPr>
        <w:br w:type="textWrapping"/>
      </w:r>
    </w:p>
    <w:p w14:paraId="5AEECEBE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Фундаментальный академический источник (публикация по педагогике и ИТ-компетенциям) —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Васева Е.С., Бужинская Н.В. (2021). Особенности формирования профессиональной компетентности будущих специалистов ИТ-сферы в условиях цифровой трансформации экономики. Вестник АлтГПУ.</w:t>
      </w:r>
      <w:r>
        <w:rPr>
          <w:rFonts w:hint="default" w:ascii="Times New Roman" w:hAnsi="Times New Roman"/>
          <w:sz w:val="28"/>
          <w:szCs w:val="28"/>
          <w:lang w:val="ru-RU"/>
        </w:rPr>
        <w:br w:type="textWrapping"/>
      </w:r>
    </w:p>
    <w:p w14:paraId="35F6CD36">
      <w:pPr>
        <w:pStyle w:val="14"/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Общественное или субъективное мнение по вопросу исследования (интерпретация образовательных практик) —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Иманкулова М.М. (2025). Методы повышения цифровой компетентности студентов казахстанских вузов.</w:t>
      </w:r>
    </w:p>
    <w:p w14:paraId="219B7645">
      <w:pPr>
        <w:rPr>
          <w:rFonts w:ascii="Times New Roman" w:hAnsi="Times New Roman" w:cs="Times New Roman"/>
          <w:sz w:val="28"/>
          <w:szCs w:val="28"/>
        </w:rPr>
      </w:pPr>
    </w:p>
    <w:p w14:paraId="17EE2D8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Анализ источников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3115"/>
        <w:gridCol w:w="3412"/>
      </w:tblGrid>
      <w:tr w14:paraId="34A1D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5BA9B0F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Сравнение точек зрения нескольких авторов на проблему, которой посвящено исследование</w:t>
            </w:r>
          </w:p>
        </w:tc>
        <w:tc>
          <w:tcPr>
            <w:tcW w:w="3115" w:type="dxa"/>
          </w:tcPr>
          <w:p w14:paraId="619F2D0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Детальный разбор основополагающего для вашего исследования труда с перечислением еще нескольких менее важных публикаций по теме</w:t>
            </w:r>
          </w:p>
        </w:tc>
        <w:tc>
          <w:tcPr>
            <w:tcW w:w="3115" w:type="dxa"/>
          </w:tcPr>
          <w:p w14:paraId="7E6DE61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Обоснование необходимости отсылки к нормативным/справочным и иным материалам</w:t>
            </w:r>
          </w:p>
        </w:tc>
      </w:tr>
      <w:tr w14:paraId="32355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3909D964">
            <w:pPr>
              <w:spacing w:after="0" w:line="24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Закирова А.Х. и Маханбетчин Р.Р. (2023) анализируют цифровые навыки студентов в конкретном вузе и подчёркивают, что «уровень информационной осведомлённости влияет на способность распознавать угрозы в онлайн-среде». Для моего исследования это даёт эмпирическую базу для сравнения результатов опроса студентов Турана.</w:t>
            </w:r>
          </w:p>
          <w:p w14:paraId="28ED4FC0">
            <w:pPr>
              <w:spacing w:after="0" w:line="24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27B338F4">
            <w:pPr>
              <w:spacing w:after="0" w:line="24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Горева О.М. и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0"/>
                <w:szCs w:val="20"/>
              </w:rPr>
              <w:t>Толстоухова И.В. (2020) формулируют понятие «цифровой грамотности» как системы знаний и поведенческих установок, включающих цифровую безопасность — эти выводы полезны для моей теоретической главы.</w:t>
            </w:r>
          </w:p>
          <w:p w14:paraId="2F21AD9B">
            <w:pPr>
              <w:spacing w:after="0" w:line="24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665CD838">
            <w:pPr>
              <w:spacing w:after="0" w:line="24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Ломовская С.А. и Синогина Е.С. (2024) представляют данные о том, что «осведомлённость о рисках не гарантирует реальной защищённости данных», что помогает мне обосновать необходимость практических мер по обучению студентов.</w:t>
            </w:r>
          </w:p>
          <w:p w14:paraId="4A31F844">
            <w:pPr>
              <w:spacing w:after="0" w:line="24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716A7FCF">
            <w:pPr>
              <w:spacing w:after="0" w:line="24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Петров А. В. (2024) рассматривает влияние искусственного интеллекта на современные системы защиты и указывает, что технологии ИИ должны быть доступны для обучения в вузах — это дополняет прикладную часть исследования.</w:t>
            </w:r>
          </w:p>
          <w:p w14:paraId="353FE980">
            <w:pPr>
              <w:spacing w:after="0" w:line="24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7D4CCFB4">
            <w:pPr>
              <w:spacing w:after="0" w:line="24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Ахметов Б. Б. и Лахно В. А. (2022) дают пример структуры вузовской системы кибербезопасности, которую можно использовать как модель для оценки практик в Туране.</w:t>
            </w:r>
          </w:p>
          <w:p w14:paraId="2283EED7">
            <w:pPr>
              <w:spacing w:after="0" w:line="24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1161421B">
            <w:pPr>
              <w:spacing w:after="0" w:line="24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Васева Е. С. и Бужинская Н. В. (2021) подчёркивают роль междисциплинарных курсов, что важно для раздела о включении кибергигиены в учебные планы.</w:t>
            </w:r>
          </w:p>
          <w:p w14:paraId="1B46D471">
            <w:pPr>
              <w:spacing w:after="0" w:line="240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  <w:p w14:paraId="2CD4D28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Иманкулова М. М. (2025) делает акцент на повышении цифровой компетентности через образовательные инициативы, что можно применить для разработки рекомендаций в моём исследовании.</w:t>
            </w:r>
          </w:p>
        </w:tc>
        <w:tc>
          <w:tcPr>
            <w:tcW w:w="3115" w:type="dxa"/>
          </w:tcPr>
          <w:p w14:paraId="52E2BF65">
            <w:pPr>
              <w:spacing w:after="0" w:line="240" w:lineRule="auto"/>
              <w:rPr>
                <w:rFonts w:hint="default" w:ascii="Times New Roman" w:hAnsi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 xml:space="preserve">В качестве основополагающего труда для данного исследования выделяется публикация Ахметова Б.Б. и </w:t>
            </w:r>
          </w:p>
          <w:p w14:paraId="2F45258B">
            <w:pPr>
              <w:spacing w:after="0" w:line="240" w:lineRule="auto"/>
              <w:rPr>
                <w:rFonts w:hint="default" w:ascii="Times New Roman" w:hAnsi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>Лахно В.А. (2022) «Защита информации и кибербезопасность цифровой образовательной среды высшей школы». Данная работа является наиболее значимой, так как она предлагает системный подход к обеспечению информационной безопасности в вузах Казахстана и содержит структурированный анализ механизмов защиты данных, применимых в образовательных учреждениях.</w:t>
            </w:r>
          </w:p>
          <w:p w14:paraId="4CA966A2">
            <w:pPr>
              <w:spacing w:after="0" w:line="240" w:lineRule="auto"/>
              <w:rPr>
                <w:rFonts w:hint="default" w:ascii="Times New Roman" w:hAnsi="Times New Roman"/>
                <w:sz w:val="20"/>
                <w:szCs w:val="20"/>
              </w:rPr>
            </w:pPr>
          </w:p>
          <w:p w14:paraId="1FF5C897">
            <w:pPr>
              <w:spacing w:after="0" w:line="240" w:lineRule="auto"/>
              <w:rPr>
                <w:rFonts w:hint="default" w:ascii="Times New Roman" w:hAnsi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>Авторы не ограничиваются описанием угроз, а формируют целостную модель функционирования системы кибербезопасности в высшей школе. В статье подчёркивается, что «современная цифровая образовательная среда требует комплексной стратегии защиты, включающей технические, организационные и образовательные меры». Этот тезис является ключевым для моего исследования, поскольку позволяет рассматривать применение студентами инструментов защиты не изолированно, а в контексте общей инфраструктуры безопасности университета.</w:t>
            </w:r>
          </w:p>
          <w:p w14:paraId="02964553">
            <w:pPr>
              <w:spacing w:after="0" w:line="240" w:lineRule="auto"/>
              <w:rPr>
                <w:rFonts w:hint="default" w:ascii="Times New Roman" w:hAnsi="Times New Roman"/>
                <w:sz w:val="20"/>
                <w:szCs w:val="20"/>
              </w:rPr>
            </w:pPr>
          </w:p>
          <w:p w14:paraId="0A7A446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>Кроме того, работа подчёркивает важность подготовки обучающихся как активных участников системы информационной безопасности. Это перекликается с задачей моего исследования — оценить уровень использования студентами инструментов киберзащиты и выявить пробелы в их цифровой компетентности.</w:t>
            </w:r>
          </w:p>
        </w:tc>
        <w:tc>
          <w:tcPr>
            <w:tcW w:w="3115" w:type="dxa"/>
          </w:tcPr>
          <w:p w14:paraId="25FD666F">
            <w:pPr>
              <w:spacing w:after="0" w:line="240" w:lineRule="auto"/>
              <w:rPr>
                <w:rFonts w:hint="default" w:ascii="Times New Roman" w:hAnsi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>Обращение к нормативным, справочным и концептуальным материалам является необходимой частью анализа цифровых компетенций и кибербезопасности студентов, поскольку эта сфера напрямую регулируется государственными стандартами и стратегическими документами. Нормативные источники позволяют задать корректный понятийный аппарат, формализовать требования к цифровой грамотности и определить рамки, в которых должны формироваться навыки безопасной работы в цифровой среде.</w:t>
            </w:r>
          </w:p>
          <w:p w14:paraId="17E369F7">
            <w:pPr>
              <w:spacing w:after="0" w:line="240" w:lineRule="auto"/>
              <w:rPr>
                <w:rFonts w:hint="default" w:ascii="Times New Roman" w:hAnsi="Times New Roman"/>
                <w:sz w:val="20"/>
                <w:szCs w:val="20"/>
              </w:rPr>
            </w:pPr>
          </w:p>
          <w:p w14:paraId="05A067B0">
            <w:pPr>
              <w:spacing w:after="0" w:line="240" w:lineRule="auto"/>
              <w:rPr>
                <w:rFonts w:hint="default" w:ascii="Times New Roman" w:hAnsi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>Во-первых, нормативные документы Республики Казахстан и международные стандарты подчеркивают стратегическую важность цифровых навыков. В государственной программе «Цифровой Казахстан» подчёркивается, что повышение цифровой грамотности граждан является «ключевым условием устойчивого развития цифровой экономики». Данные положения задают контекст анализа и объясняют, почему оценка цифровых компетенций студентов должна рассматриваться не только как педагогическая задача, но и как элемент национальной цифровой политики.</w:t>
            </w:r>
          </w:p>
          <w:p w14:paraId="4AF1BA75">
            <w:pPr>
              <w:spacing w:after="0" w:line="240" w:lineRule="auto"/>
              <w:rPr>
                <w:rFonts w:hint="default" w:ascii="Times New Roman" w:hAnsi="Times New Roman"/>
                <w:sz w:val="20"/>
                <w:szCs w:val="20"/>
              </w:rPr>
            </w:pPr>
          </w:p>
          <w:p w14:paraId="1515DB57">
            <w:pPr>
              <w:spacing w:after="0" w:line="240" w:lineRule="auto"/>
              <w:rPr>
                <w:rFonts w:hint="default" w:ascii="Times New Roman" w:hAnsi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>Во-вторых, стандарты в области информационной безопасности (например, ГОСТ Р 56939–2016) фиксируют роль пользователя как важнейшего элемента системы защиты данных. В документе подчёркивается, что «подготовка пользователей в области информационной безопасности является необходимым элементом предотвращения инцидентов». Обращение к подобным стандартам позволяет исследованию опираться на формализованные определения угроз, компетенций и инструментов защиты.</w:t>
            </w:r>
          </w:p>
          <w:p w14:paraId="6065AED8">
            <w:pPr>
              <w:spacing w:after="0" w:line="240" w:lineRule="auto"/>
              <w:rPr>
                <w:rFonts w:hint="default" w:ascii="Times New Roman" w:hAnsi="Times New Roman"/>
                <w:sz w:val="20"/>
                <w:szCs w:val="20"/>
              </w:rPr>
            </w:pPr>
          </w:p>
          <w:p w14:paraId="73BB23BE">
            <w:pPr>
              <w:spacing w:after="0" w:line="240" w:lineRule="auto"/>
              <w:rPr>
                <w:rFonts w:hint="default" w:ascii="Times New Roman" w:hAnsi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>В-третьих, необходимость нормативного основания подтверждается и эмпирическими исследованиями. Например, в работе Закировой и Милана (2024) подчёркивается, что цифровые навыки являются ключевым фактором адаптации студентов к современным вызовам:</w:t>
            </w:r>
          </w:p>
          <w:p w14:paraId="7A8F4D54">
            <w:pPr>
              <w:spacing w:after="0" w:line="240" w:lineRule="auto"/>
              <w:rPr>
                <w:rFonts w:hint="default" w:ascii="Times New Roman" w:hAnsi="Times New Roman"/>
                <w:sz w:val="20"/>
                <w:szCs w:val="20"/>
              </w:rPr>
            </w:pPr>
          </w:p>
          <w:p w14:paraId="048BEDBE">
            <w:pPr>
              <w:spacing w:after="0" w:line="240" w:lineRule="auto"/>
              <w:rPr>
                <w:rFonts w:hint="default" w:ascii="Times New Roman" w:hAnsi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>«В современном информационном обществе цифровые навыки становятся все более важным элементом успешной адаптации молодежи к быстро меняющемуся миру» (с. 355).</w:t>
            </w:r>
          </w:p>
          <w:p w14:paraId="313507EB">
            <w:pPr>
              <w:spacing w:after="0" w:line="240" w:lineRule="auto"/>
              <w:rPr>
                <w:rFonts w:hint="default" w:ascii="Times New Roman" w:hAnsi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>Авторы фиксируют, что оценка цифровой грамотности является критически важным инструментом для построения образовательных программ:</w:t>
            </w:r>
          </w:p>
          <w:p w14:paraId="1DA5E063">
            <w:pPr>
              <w:spacing w:after="0" w:line="240" w:lineRule="auto"/>
              <w:rPr>
                <w:rFonts w:hint="default" w:ascii="Times New Roman" w:hAnsi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>«Оценка уровня цифровой грамотности студентов является ключевым аспектом для разработки эффективных образовательных программ» (с. 355).</w:t>
            </w:r>
          </w:p>
          <w:p w14:paraId="04E3D64E">
            <w:pPr>
              <w:spacing w:after="0" w:line="240" w:lineRule="auto"/>
              <w:rPr>
                <w:rFonts w:hint="default" w:ascii="Times New Roman" w:hAnsi="Times New Roman"/>
                <w:sz w:val="20"/>
                <w:szCs w:val="20"/>
              </w:rPr>
            </w:pPr>
          </w:p>
          <w:p w14:paraId="3D15B7B5">
            <w:pPr>
              <w:spacing w:after="0" w:line="240" w:lineRule="auto"/>
              <w:rPr>
                <w:rFonts w:hint="default" w:ascii="Times New Roman" w:hAnsi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>Также подчёркивается необходимость методического регулирования образовательных процессов:</w:t>
            </w:r>
          </w:p>
          <w:p w14:paraId="48B40F8C">
            <w:pPr>
              <w:spacing w:after="0" w:line="240" w:lineRule="auto"/>
              <w:rPr>
                <w:rFonts w:hint="default" w:ascii="Times New Roman" w:hAnsi="Times New Roman"/>
                <w:sz w:val="20"/>
                <w:szCs w:val="20"/>
              </w:rPr>
            </w:pPr>
          </w:p>
          <w:p w14:paraId="07B16AD3">
            <w:pPr>
              <w:spacing w:after="0" w:line="240" w:lineRule="auto"/>
              <w:rPr>
                <w:rFonts w:hint="default" w:ascii="Times New Roman" w:hAnsi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>«Оценка уровня цифровых навыков студентов позволяет образовательным учреждениям адаптировать и улучшать учебные программы» (с. 356).</w:t>
            </w:r>
          </w:p>
          <w:p w14:paraId="17F92246">
            <w:pPr>
              <w:spacing w:after="0" w:line="240" w:lineRule="auto"/>
              <w:rPr>
                <w:rFonts w:hint="default" w:ascii="Times New Roman" w:hAnsi="Times New Roman"/>
                <w:sz w:val="20"/>
                <w:szCs w:val="20"/>
              </w:rPr>
            </w:pPr>
          </w:p>
          <w:p w14:paraId="207D80C3">
            <w:pPr>
              <w:spacing w:after="0" w:line="240" w:lineRule="auto"/>
              <w:rPr>
                <w:rFonts w:hint="default" w:ascii="Times New Roman" w:hAnsi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>Эти выводы подтверждают, что исследование должно опираться на нормативные источники, так как именно они определяют требования, которым должны соответствовать образовательные программы и компетенции студентов.</w:t>
            </w:r>
          </w:p>
          <w:p w14:paraId="2C3D3B76">
            <w:pPr>
              <w:spacing w:after="0" w:line="240" w:lineRule="auto"/>
              <w:rPr>
                <w:rFonts w:hint="default" w:ascii="Times New Roman" w:hAnsi="Times New Roman"/>
                <w:sz w:val="20"/>
                <w:szCs w:val="20"/>
              </w:rPr>
            </w:pPr>
          </w:p>
          <w:p w14:paraId="1BE8130C">
            <w:pPr>
              <w:spacing w:after="0" w:line="240" w:lineRule="auto"/>
              <w:rPr>
                <w:rFonts w:hint="default" w:ascii="Times New Roman" w:hAnsi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  <w:lang w:val="ru-RU"/>
              </w:rPr>
              <w:t>И на конец в</w:t>
            </w:r>
            <w:r>
              <w:rPr>
                <w:rFonts w:hint="default" w:ascii="Times New Roman" w:hAnsi="Times New Roman"/>
                <w:sz w:val="20"/>
                <w:szCs w:val="20"/>
              </w:rPr>
              <w:t>-четвёртых, нормативные документы позволяют обосновать анализ кибербезопасности как системного явления, а не набора отдельных навыков. Работа Закировой и Милана демонстрирует, что уровень цифровой грамотности влияет на подготовку кадров для цифровой экономики:</w:t>
            </w:r>
          </w:p>
          <w:p w14:paraId="40ACB413">
            <w:pPr>
              <w:spacing w:after="0" w:line="240" w:lineRule="auto"/>
              <w:rPr>
                <w:rFonts w:hint="default" w:ascii="Times New Roman" w:hAnsi="Times New Roman"/>
                <w:sz w:val="20"/>
                <w:szCs w:val="20"/>
              </w:rPr>
            </w:pPr>
          </w:p>
          <w:p w14:paraId="2BC82045">
            <w:pPr>
              <w:spacing w:after="0" w:line="240" w:lineRule="auto"/>
              <w:rPr>
                <w:rFonts w:hint="default" w:ascii="Times New Roman" w:hAnsi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 xml:space="preserve">«Уровень цифровых навыков студентов может оказать влияние как на конкурентоспособность государства на мировой арене, так и на его экономическое развитие» </w:t>
            </w:r>
          </w:p>
          <w:p w14:paraId="56F145F8">
            <w:pPr>
              <w:spacing w:after="0" w:line="240" w:lineRule="auto"/>
              <w:rPr>
                <w:rFonts w:hint="default" w:ascii="Times New Roman" w:hAnsi="Times New Roman"/>
                <w:sz w:val="20"/>
                <w:szCs w:val="20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>(с. 357).</w:t>
            </w:r>
          </w:p>
          <w:p w14:paraId="635BAF3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0"/>
                <w:szCs w:val="20"/>
              </w:rPr>
              <w:t>Этот тезис усиливает аргументацию о необходимости обращения к государственным и международным стандартам, поскольку именно они определяют стратегические ориентиры развития цифровой компетентности.</w:t>
            </w:r>
          </w:p>
        </w:tc>
      </w:tr>
    </w:tbl>
    <w:p w14:paraId="12AB4B99">
      <w:pPr>
        <w:rPr>
          <w:rFonts w:ascii="Times New Roman" w:hAnsi="Times New Roman" w:cs="Times New Roman"/>
          <w:sz w:val="28"/>
          <w:szCs w:val="28"/>
        </w:rPr>
      </w:pPr>
    </w:p>
    <w:p w14:paraId="3D878F80">
      <w:pPr>
        <w:rPr>
          <w:rFonts w:ascii="Times New Roman" w:hAnsi="Times New Roman" w:cs="Times New Roman"/>
          <w:sz w:val="28"/>
          <w:szCs w:val="28"/>
        </w:rPr>
      </w:pPr>
    </w:p>
    <w:p w14:paraId="0B04BC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5C96E157">
      <w:pPr>
        <w:rPr>
          <w:rFonts w:hint="default" w:ascii="Times New Roman" w:hAnsi="Times New Roman"/>
          <w:i w:val="0"/>
          <w:iCs/>
          <w:sz w:val="28"/>
          <w:szCs w:val="28"/>
        </w:rPr>
      </w:pPr>
      <w:r>
        <w:rPr>
          <w:rFonts w:hint="default" w:ascii="Times New Roman" w:hAnsi="Times New Roman"/>
          <w:i w:val="0"/>
          <w:iCs/>
          <w:sz w:val="28"/>
          <w:szCs w:val="28"/>
        </w:rPr>
        <w:t>Обобщая результаты проведённого анализа, можно отметить, что рассмотренные источники представляют собой научно обоснованную и структурированную основу для исследования цифровых компетенций и инструментов кибербезопасности студентов. В целом, литература демонстрирует согласованную позицию авторов о возрастании роли цифровой грамотности как ключевого фактора адаптации обучающихся к условиям цифровой экономики.</w:t>
      </w:r>
    </w:p>
    <w:p w14:paraId="7CC8F5D7">
      <w:pPr>
        <w:rPr>
          <w:rFonts w:hint="default" w:ascii="Times New Roman" w:hAnsi="Times New Roman"/>
          <w:i w:val="0"/>
          <w:iCs/>
          <w:sz w:val="28"/>
          <w:szCs w:val="28"/>
        </w:rPr>
      </w:pPr>
    </w:p>
    <w:p w14:paraId="3E6BC243">
      <w:pPr>
        <w:rPr>
          <w:rFonts w:hint="default" w:ascii="Times New Roman" w:hAnsi="Times New Roman"/>
          <w:i w:val="0"/>
          <w:iCs/>
          <w:sz w:val="28"/>
          <w:szCs w:val="28"/>
        </w:rPr>
      </w:pPr>
      <w:r>
        <w:rPr>
          <w:rFonts w:hint="default" w:ascii="Times New Roman" w:hAnsi="Times New Roman"/>
          <w:i w:val="0"/>
          <w:iCs/>
          <w:sz w:val="28"/>
          <w:szCs w:val="28"/>
        </w:rPr>
        <w:t>Таким образом, фундаментальные академические работы обеспечивают содержательную теоретическую базу, раскрывающую структуру цифровых компетенций, связь цифровой грамотности с безопасным поведением и современные подходы к защите информации. Следовательно, они позволяют сформировать целостное представление о методологических основаниях и практических направлениях развития цифровых навыков в вузах.</w:t>
      </w:r>
    </w:p>
    <w:p w14:paraId="1AB1B38A">
      <w:pPr>
        <w:rPr>
          <w:rFonts w:hint="default" w:ascii="Times New Roman" w:hAnsi="Times New Roman"/>
          <w:i w:val="0"/>
          <w:iCs/>
          <w:sz w:val="28"/>
          <w:szCs w:val="28"/>
        </w:rPr>
      </w:pPr>
    </w:p>
    <w:p w14:paraId="5C917168">
      <w:pPr>
        <w:rPr>
          <w:rFonts w:hint="default" w:ascii="Times New Roman" w:hAnsi="Times New Roman"/>
          <w:i w:val="0"/>
          <w:iCs/>
          <w:sz w:val="28"/>
          <w:szCs w:val="28"/>
        </w:rPr>
      </w:pPr>
      <w:r>
        <w:rPr>
          <w:rFonts w:hint="default" w:ascii="Times New Roman" w:hAnsi="Times New Roman"/>
          <w:i w:val="0"/>
          <w:iCs/>
          <w:sz w:val="28"/>
          <w:szCs w:val="28"/>
        </w:rPr>
        <w:t>Кроме того, эмпирические исследования, основанные на данных опросов студентов, дают возможность оценить реальное состояние осведомлённости и поведенческих стратегий обучающихся в контексте киберугроз. Благодаря этому формируется объективное понимание проблемных зон, требующих педагогического и организационного вмешательства.</w:t>
      </w:r>
    </w:p>
    <w:p w14:paraId="2F5D7121">
      <w:pPr>
        <w:rPr>
          <w:rFonts w:hint="default" w:ascii="Times New Roman" w:hAnsi="Times New Roman"/>
          <w:i w:val="0"/>
          <w:iCs/>
          <w:sz w:val="28"/>
          <w:szCs w:val="28"/>
        </w:rPr>
      </w:pPr>
    </w:p>
    <w:p w14:paraId="18FE68B3">
      <w:pPr>
        <w:rPr>
          <w:rFonts w:hint="default" w:ascii="Times New Roman" w:hAnsi="Times New Roman"/>
          <w:i/>
          <w:sz w:val="28"/>
          <w:szCs w:val="28"/>
        </w:rPr>
      </w:pPr>
      <w:r>
        <w:rPr>
          <w:rFonts w:hint="default" w:ascii="Times New Roman" w:hAnsi="Times New Roman"/>
          <w:i w:val="0"/>
          <w:iCs/>
          <w:sz w:val="28"/>
          <w:szCs w:val="28"/>
        </w:rPr>
        <w:t>В итоге можно заключить, что анализируемые источники отличаются актуальностью, достаточной глубиной и разнообразием подходов, что делает их значимыми для построения комплексного исследования. Они не только расширяют теоретическую базу, но и способствуют формированию практически ориентированных выводов о состоянии цифровой безопасности студентов и перспективах её повышения.</w:t>
      </w:r>
    </w:p>
    <w:p w14:paraId="3BB0E663">
      <w:pPr>
        <w:rPr>
          <w:rFonts w:hint="default" w:ascii="Times New Roman" w:hAnsi="Times New Roman"/>
          <w:i/>
          <w:sz w:val="28"/>
          <w:szCs w:val="28"/>
        </w:rPr>
      </w:pPr>
    </w:p>
    <w:p w14:paraId="381DDB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Антиплагиат</w:t>
      </w:r>
    </w:p>
    <w:p w14:paraId="4F7C124C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113780" cy="4342765"/>
            <wp:effectExtent l="0" t="0" r="7620" b="63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434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C508B">
      <w:pPr>
        <w:spacing w:before="120" w:after="120"/>
        <w:ind w:left="120"/>
        <w:rPr>
          <w:rFonts w:hint="default"/>
          <w:lang w:val="en-US"/>
        </w:rPr>
      </w:pPr>
      <w:r>
        <w:br w:type="textWrapping"/>
      </w:r>
      <w:r>
        <w:rPr>
          <w:rFonts w:hint="default"/>
          <w:lang w:val="en-US"/>
        </w:rPr>
        <w:t xml:space="preserve">URL: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"https://antiplagiat.seolik.ru/?check=6910383e152fc4.15486599.dat" </w:instrText>
      </w:r>
      <w:r>
        <w:rPr>
          <w:rFonts w:hint="default"/>
          <w:lang w:val="en-US"/>
        </w:rPr>
        <w:fldChar w:fldCharType="separate"/>
      </w:r>
      <w:r>
        <w:rPr>
          <w:rStyle w:val="6"/>
          <w:rFonts w:hint="default"/>
          <w:lang w:val="en-US"/>
        </w:rPr>
        <w:t>https://antiplagiat.seolik.ru/?check=6910383e152fc4.15486599.dat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31019065">
      <w:pPr>
        <w:rPr>
          <w:rFonts w:ascii="Times New Roman" w:hAnsi="Times New Roman" w:cs="Times New Roman"/>
          <w:sz w:val="28"/>
          <w:szCs w:val="28"/>
        </w:rPr>
      </w:pPr>
    </w:p>
    <w:p w14:paraId="4B3D5B01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5D1DD92C">
      <w:pPr>
        <w:spacing w:after="0" w:line="240" w:lineRule="auto"/>
        <w:rPr>
          <w:rFonts w:ascii="Times New Roman" w:hAnsi="Times New Roman" w:cs="Times New Roman"/>
          <w:lang w:val="kk-KZ"/>
        </w:rPr>
      </w:pPr>
    </w:p>
    <w:p w14:paraId="30FC7201">
      <w:pPr>
        <w:spacing w:after="0" w:line="240" w:lineRule="auto"/>
        <w:rPr>
          <w:rFonts w:ascii="Times New Roman" w:hAnsi="Times New Roman" w:cs="Times New Roman"/>
          <w:lang w:val="kk-KZ"/>
        </w:rPr>
      </w:pPr>
    </w:p>
    <w:sectPr>
      <w:pgSz w:w="11906" w:h="16838"/>
      <w:pgMar w:top="1134" w:right="1134" w:bottom="1134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B93A51"/>
    <w:multiLevelType w:val="singleLevel"/>
    <w:tmpl w:val="35B93A51"/>
    <w:lvl w:ilvl="0" w:tentative="0">
      <w:start w:val="5"/>
      <w:numFmt w:val="decimal"/>
      <w:suff w:val="space"/>
      <w:lvlText w:val="%1)"/>
      <w:lvlJc w:val="left"/>
    </w:lvl>
  </w:abstractNum>
  <w:abstractNum w:abstractNumId="1">
    <w:nsid w:val="6BC11355"/>
    <w:multiLevelType w:val="multilevel"/>
    <w:tmpl w:val="6BC1135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EB8"/>
    <w:rsid w:val="00001DDD"/>
    <w:rsid w:val="00074663"/>
    <w:rsid w:val="000C6119"/>
    <w:rsid w:val="00265819"/>
    <w:rsid w:val="00441994"/>
    <w:rsid w:val="00663A37"/>
    <w:rsid w:val="006F1D86"/>
    <w:rsid w:val="007E6121"/>
    <w:rsid w:val="00922E96"/>
    <w:rsid w:val="009B3ED5"/>
    <w:rsid w:val="009F01D3"/>
    <w:rsid w:val="00C20ED4"/>
    <w:rsid w:val="00CC05C1"/>
    <w:rsid w:val="00FA0EB8"/>
    <w:rsid w:val="00FD38FE"/>
    <w:rsid w:val="02C00E90"/>
    <w:rsid w:val="05696BF7"/>
    <w:rsid w:val="078C55F0"/>
    <w:rsid w:val="0DF626F7"/>
    <w:rsid w:val="0EBE68BC"/>
    <w:rsid w:val="104344BA"/>
    <w:rsid w:val="145271E3"/>
    <w:rsid w:val="15E7507B"/>
    <w:rsid w:val="165556AF"/>
    <w:rsid w:val="170E7256"/>
    <w:rsid w:val="198310E9"/>
    <w:rsid w:val="1DA62AB3"/>
    <w:rsid w:val="21E5632B"/>
    <w:rsid w:val="2598673B"/>
    <w:rsid w:val="2B226752"/>
    <w:rsid w:val="2D94027E"/>
    <w:rsid w:val="2F8A2814"/>
    <w:rsid w:val="35904CED"/>
    <w:rsid w:val="3BCB4B28"/>
    <w:rsid w:val="3C38437F"/>
    <w:rsid w:val="470F78A3"/>
    <w:rsid w:val="49225823"/>
    <w:rsid w:val="4A4E5776"/>
    <w:rsid w:val="4FA7173B"/>
    <w:rsid w:val="5A1B5462"/>
    <w:rsid w:val="5C12559D"/>
    <w:rsid w:val="5C380CC4"/>
    <w:rsid w:val="5FAA7382"/>
    <w:rsid w:val="5FC93C06"/>
    <w:rsid w:val="635D7793"/>
    <w:rsid w:val="67A7139C"/>
    <w:rsid w:val="6EDE6AF0"/>
    <w:rsid w:val="6F401113"/>
    <w:rsid w:val="7A7E68F5"/>
    <w:rsid w:val="7C687527"/>
    <w:rsid w:val="7C815ED2"/>
    <w:rsid w:val="7FBC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3">
    <w:name w:val="heading 4"/>
    <w:basedOn w:val="1"/>
    <w:link w:val="13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semiHidden/>
    <w:unhideWhenUsed/>
    <w:qFormat/>
    <w:uiPriority w:val="99"/>
    <w:rPr>
      <w:color w:val="800080"/>
      <w:u w:val="single"/>
    </w:rPr>
  </w:style>
  <w:style w:type="character" w:styleId="7">
    <w:name w:val="Emphasis"/>
    <w:basedOn w:val="4"/>
    <w:qFormat/>
    <w:uiPriority w:val="20"/>
    <w:rPr>
      <w:i/>
      <w:iCs/>
    </w:rPr>
  </w:style>
  <w:style w:type="character" w:styleId="8">
    <w:name w:val="Hyperlink"/>
    <w:basedOn w:val="4"/>
    <w:semiHidden/>
    <w:unhideWhenUsed/>
    <w:qFormat/>
    <w:uiPriority w:val="99"/>
    <w:rPr>
      <w:color w:val="0000FF"/>
      <w:u w:val="single"/>
    </w:rPr>
  </w:style>
  <w:style w:type="character" w:styleId="9">
    <w:name w:val="Strong"/>
    <w:basedOn w:val="4"/>
    <w:qFormat/>
    <w:uiPriority w:val="22"/>
    <w:rPr>
      <w:b/>
      <w:bCs/>
    </w:r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table" w:styleId="11">
    <w:name w:val="Table Grid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Заголовок 3 Знак"/>
    <w:basedOn w:val="4"/>
    <w:link w:val="2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13">
    <w:name w:val="Заголовок 4 Знак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617</Words>
  <Characters>3523</Characters>
  <Lines>29</Lines>
  <Paragraphs>8</Paragraphs>
  <TotalTime>181</TotalTime>
  <ScaleCrop>false</ScaleCrop>
  <LinksUpToDate>false</LinksUpToDate>
  <CharactersWithSpaces>4132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2025-09-21T09:32:00Z</dcterms:created>
  <dc:creator>user</dc:creator>
  <cp:lastModifiedBy>Дмитрий Ведерни�</cp:lastModifiedBy>
  <dcterms:modified xsi:type="dcterms:W3CDTF">2025-11-21T11:25:50Z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C2AE994F280C46FB8CD8058CD3BE86EB_13</vt:lpwstr>
  </property>
</Properties>
</file>