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5E336">
      <w:r>
        <w:rPr>
          <w:rFonts w:hint="default"/>
        </w:rPr>
        <w:t>Построить диаграмму бизнес-процесса в нотации BPMN.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68595" cy="2999105"/>
            <wp:effectExtent l="0" t="0" r="1905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7B4B345">
      <w:r>
        <w:rPr>
          <w:rFonts w:hint="default"/>
        </w:rPr>
        <w:t>Разработать модель верхнего уровня в IDEF0.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73040" cy="2357120"/>
            <wp:effectExtent l="0" t="0" r="10160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D20ED11">
      <w:pPr>
        <w:rPr>
          <w:rFonts w:hint="default"/>
        </w:rPr>
      </w:pPr>
      <w:r>
        <w:rPr>
          <w:rFonts w:hint="default"/>
        </w:rPr>
        <w:t>Сравнить преимущества двух методологий.</w:t>
      </w:r>
      <w:r>
        <w:rPr>
          <w:rFonts w:hint="default"/>
        </w:rPr>
        <w:br w:type="textWrapping"/>
      </w:r>
      <w:r>
        <w:rPr>
          <w:rFonts w:hint="default"/>
        </w:rPr>
        <w:t>Сравнение методологий BPMN и IDEF0</w:t>
      </w:r>
    </w:p>
    <w:p w14:paraId="290E9E5F">
      <w:pPr>
        <w:rPr>
          <w:rFonts w:hint="default"/>
        </w:rPr>
      </w:pPr>
    </w:p>
    <w:p w14:paraId="35337F5B">
      <w:pPr>
        <w:rPr>
          <w:rFonts w:hint="default"/>
        </w:rPr>
      </w:pPr>
      <w:r>
        <w:rPr>
          <w:rFonts w:hint="default"/>
        </w:rPr>
        <w:t>BPMN (Business Process Model and Notation)</w:t>
      </w:r>
    </w:p>
    <w:p w14:paraId="4624433F">
      <w:pPr>
        <w:rPr>
          <w:rFonts w:hint="default"/>
        </w:rPr>
      </w:pPr>
      <w:r>
        <w:rPr>
          <w:rFonts w:hint="default"/>
        </w:rPr>
        <w:t>Преимущества:</w:t>
      </w:r>
    </w:p>
    <w:p w14:paraId="481F203B">
      <w:pPr>
        <w:rPr>
          <w:rFonts w:hint="default"/>
        </w:rPr>
      </w:pPr>
    </w:p>
    <w:p w14:paraId="25032D78">
      <w:pPr>
        <w:rPr>
          <w:rFonts w:hint="default"/>
        </w:rPr>
      </w:pPr>
      <w:r>
        <w:rPr>
          <w:rFonts w:hint="default"/>
        </w:rPr>
        <w:t>Понятный и наглядный язык описания бизнес-процессов: блоки, стрелки и события легко читаются даже не специалистами.</w:t>
      </w:r>
    </w:p>
    <w:p w14:paraId="0D7546A2">
      <w:pPr>
        <w:rPr>
          <w:rFonts w:hint="default"/>
        </w:rPr>
      </w:pPr>
    </w:p>
    <w:p w14:paraId="7FBC4667">
      <w:pPr>
        <w:rPr>
          <w:rFonts w:hint="default"/>
        </w:rPr>
      </w:pPr>
      <w:r>
        <w:rPr>
          <w:rFonts w:hint="default"/>
        </w:rPr>
        <w:t>Ориентирован на моделирование последовательности действий и взаимодействия участников (swimlanes, роли).</w:t>
      </w:r>
    </w:p>
    <w:p w14:paraId="59467D6A">
      <w:pPr>
        <w:rPr>
          <w:rFonts w:hint="default"/>
        </w:rPr>
      </w:pPr>
    </w:p>
    <w:p w14:paraId="68CA0D79">
      <w:pPr>
        <w:rPr>
          <w:rFonts w:hint="default"/>
        </w:rPr>
      </w:pPr>
      <w:r>
        <w:rPr>
          <w:rFonts w:hint="default"/>
        </w:rPr>
        <w:t>Хорошо подходит для описания процессов, связанных с клиентами, заказами, логистикой, т.е. «пошагового сценария».</w:t>
      </w:r>
    </w:p>
    <w:p w14:paraId="3E19B11B">
      <w:pPr>
        <w:rPr>
          <w:rFonts w:hint="default"/>
        </w:rPr>
      </w:pPr>
    </w:p>
    <w:p w14:paraId="4413D0B2">
      <w:pPr>
        <w:rPr>
          <w:rFonts w:hint="default"/>
        </w:rPr>
      </w:pPr>
      <w:r>
        <w:rPr>
          <w:rFonts w:hint="default"/>
        </w:rPr>
        <w:t>Может быть напрямую использован для автоматизации бизнес-процессов в системах BPM-класса.</w:t>
      </w:r>
    </w:p>
    <w:p w14:paraId="6E7794D7">
      <w:pPr>
        <w:rPr>
          <w:rFonts w:hint="default"/>
        </w:rPr>
      </w:pPr>
    </w:p>
    <w:p w14:paraId="3510CBBD">
      <w:pPr>
        <w:rPr>
          <w:rFonts w:hint="default"/>
        </w:rPr>
      </w:pPr>
      <w:r>
        <w:rPr>
          <w:rFonts w:hint="default"/>
        </w:rPr>
        <w:t>Ограничения:</w:t>
      </w:r>
    </w:p>
    <w:p w14:paraId="2E613D6D">
      <w:pPr>
        <w:rPr>
          <w:rFonts w:hint="default"/>
        </w:rPr>
      </w:pPr>
    </w:p>
    <w:p w14:paraId="3DEA0FF5">
      <w:pPr>
        <w:rPr>
          <w:rFonts w:hint="default"/>
        </w:rPr>
      </w:pPr>
      <w:r>
        <w:rPr>
          <w:rFonts w:hint="default"/>
        </w:rPr>
        <w:t>Делает акцент на последовательности действий, но хуже отражает ресурсы, управление и механизмы.</w:t>
      </w:r>
    </w:p>
    <w:p w14:paraId="1A2A67C7">
      <w:pPr>
        <w:rPr>
          <w:rFonts w:hint="default"/>
        </w:rPr>
      </w:pPr>
    </w:p>
    <w:p w14:paraId="739D8927">
      <w:pPr>
        <w:rPr>
          <w:rFonts w:hint="default"/>
        </w:rPr>
      </w:pPr>
      <w:r>
        <w:rPr>
          <w:rFonts w:hint="default"/>
        </w:rPr>
        <w:t>На больших схемах может стать перегруженным и терять наглядность.</w:t>
      </w:r>
    </w:p>
    <w:p w14:paraId="2E9E91DA">
      <w:pPr>
        <w:rPr>
          <w:rFonts w:hint="default"/>
        </w:rPr>
      </w:pPr>
    </w:p>
    <w:p w14:paraId="5FB33383">
      <w:pPr>
        <w:rPr>
          <w:rFonts w:hint="default"/>
        </w:rPr>
      </w:pPr>
      <w:r>
        <w:rPr>
          <w:rFonts w:hint="default"/>
        </w:rPr>
        <w:t>IDEF0 (Integration Definition for Function Modeling)</w:t>
      </w:r>
    </w:p>
    <w:p w14:paraId="5E4FE355">
      <w:pPr>
        <w:rPr>
          <w:rFonts w:hint="default"/>
        </w:rPr>
      </w:pPr>
      <w:r>
        <w:rPr>
          <w:rFonts w:hint="default"/>
        </w:rPr>
        <w:t>Преимущества:</w:t>
      </w:r>
    </w:p>
    <w:p w14:paraId="7CCF9559">
      <w:pPr>
        <w:rPr>
          <w:rFonts w:hint="default"/>
        </w:rPr>
      </w:pPr>
    </w:p>
    <w:p w14:paraId="17FB38AF">
      <w:pPr>
        <w:rPr>
          <w:rFonts w:hint="default"/>
        </w:rPr>
      </w:pPr>
      <w:r>
        <w:rPr>
          <w:rFonts w:hint="default"/>
        </w:rPr>
        <w:t>Ориентирован на функциональное моделирование: показывает, какие функции выполняет система, какие входы, выходы, управления и механизмы задействованы.</w:t>
      </w:r>
    </w:p>
    <w:p w14:paraId="5501A47D">
      <w:pPr>
        <w:rPr>
          <w:rFonts w:hint="default"/>
        </w:rPr>
      </w:pPr>
    </w:p>
    <w:p w14:paraId="5794F92C">
      <w:pPr>
        <w:rPr>
          <w:rFonts w:hint="default"/>
        </w:rPr>
      </w:pPr>
      <w:r>
        <w:rPr>
          <w:rFonts w:hint="default"/>
        </w:rPr>
        <w:t>Даёт «статическую» структуру системы, а не только динамику (что важно для проектирования информационных систем).</w:t>
      </w:r>
    </w:p>
    <w:p w14:paraId="250B4388">
      <w:pPr>
        <w:rPr>
          <w:rFonts w:hint="default"/>
        </w:rPr>
      </w:pPr>
    </w:p>
    <w:p w14:paraId="2D89B420">
      <w:pPr>
        <w:rPr>
          <w:rFonts w:hint="default"/>
        </w:rPr>
      </w:pPr>
      <w:r>
        <w:rPr>
          <w:rFonts w:hint="default"/>
        </w:rPr>
        <w:t>Удобен для анализа ответственности: кто за что отвечает, какие ресурсы и правила участвуют.</w:t>
      </w:r>
    </w:p>
    <w:p w14:paraId="7D04D4D6">
      <w:pPr>
        <w:rPr>
          <w:rFonts w:hint="default"/>
        </w:rPr>
      </w:pPr>
    </w:p>
    <w:p w14:paraId="1039F34D">
      <w:pPr>
        <w:rPr>
          <w:rFonts w:hint="default"/>
        </w:rPr>
      </w:pPr>
      <w:r>
        <w:rPr>
          <w:rFonts w:hint="default"/>
        </w:rPr>
        <w:t>Подходит для системного анализа и построения архитектуры на верхнем уровне.</w:t>
      </w:r>
    </w:p>
    <w:p w14:paraId="445EDF1B">
      <w:pPr>
        <w:rPr>
          <w:rFonts w:hint="default"/>
        </w:rPr>
      </w:pPr>
    </w:p>
    <w:p w14:paraId="1DC846C6">
      <w:pPr>
        <w:rPr>
          <w:rFonts w:hint="default"/>
        </w:rPr>
      </w:pPr>
      <w:r>
        <w:rPr>
          <w:rFonts w:hint="default"/>
        </w:rPr>
        <w:t>Ограничения:</w:t>
      </w:r>
    </w:p>
    <w:p w14:paraId="14301463">
      <w:pPr>
        <w:rPr>
          <w:rFonts w:hint="default"/>
        </w:rPr>
      </w:pPr>
    </w:p>
    <w:p w14:paraId="487D18BE">
      <w:pPr>
        <w:rPr>
          <w:rFonts w:hint="default"/>
        </w:rPr>
      </w:pPr>
      <w:r>
        <w:rPr>
          <w:rFonts w:hint="default"/>
        </w:rPr>
        <w:t>Меньше акцент на последовательности шагов; «как именно» выполняется процесс, видно не всегда.</w:t>
      </w:r>
    </w:p>
    <w:p w14:paraId="21E9D0F6">
      <w:pPr>
        <w:rPr>
          <w:rFonts w:hint="default"/>
        </w:rPr>
      </w:pPr>
    </w:p>
    <w:p w14:paraId="64EEA332">
      <w:pPr>
        <w:rPr>
          <w:rFonts w:hint="default"/>
        </w:rPr>
      </w:pPr>
      <w:r>
        <w:rPr>
          <w:rFonts w:hint="default"/>
        </w:rPr>
        <w:t>Требует пояснений для неспециалистов, так как нотация менее очевидна, чем BPMN.</w:t>
      </w:r>
    </w:p>
    <w:p w14:paraId="1C53C4B6">
      <w:pPr>
        <w:rPr>
          <w:rFonts w:hint="default"/>
        </w:rPr>
      </w:pPr>
    </w:p>
    <w:p w14:paraId="6A9AB0F9">
      <w:pPr>
        <w:rPr>
          <w:rFonts w:hint="default"/>
        </w:rPr>
      </w:pPr>
      <w:r>
        <w:rPr>
          <w:rFonts w:hint="default"/>
        </w:rPr>
        <w:t>Итоговое сравнение</w:t>
      </w:r>
    </w:p>
    <w:p w14:paraId="498A4F7F">
      <w:pPr>
        <w:rPr>
          <w:rFonts w:hint="default"/>
        </w:rPr>
      </w:pPr>
    </w:p>
    <w:p w14:paraId="230EEAF3">
      <w:pPr>
        <w:rPr>
          <w:rFonts w:hint="default"/>
        </w:rPr>
      </w:pPr>
      <w:r>
        <w:rPr>
          <w:rFonts w:hint="default"/>
        </w:rPr>
        <w:t>BPMN лучше применять, когда важно показать пошаговый сценарий бизнес-процесса (например, оформление заказа в интернет-магазине).</w:t>
      </w:r>
    </w:p>
    <w:p w14:paraId="63F7C288">
      <w:pPr>
        <w:rPr>
          <w:rFonts w:hint="default"/>
        </w:rPr>
      </w:pPr>
    </w:p>
    <w:p w14:paraId="42F4E969">
      <w:pPr>
        <w:rPr>
          <w:rFonts w:hint="default"/>
        </w:rPr>
      </w:pPr>
      <w:r>
        <w:rPr>
          <w:rFonts w:hint="default"/>
        </w:rPr>
        <w:t>IDEF0 лучше использовать для структурного анализа и проектирования системы, когда нужно выделить функции, входы, выходы, механизмы и правила.</w:t>
      </w:r>
    </w:p>
    <w:p w14:paraId="07DAE54C">
      <w:pPr>
        <w:rPr>
          <w:rFonts w:hint="default"/>
        </w:rPr>
      </w:pPr>
    </w:p>
    <w:p w14:paraId="04D5B7E7">
      <w:r>
        <w:rPr>
          <w:rFonts w:hint="default"/>
        </w:rPr>
        <w:t>Вместе они дополняют друг друга: BPMN отвечает на вопрос «как идёт процесс во времени», а IDEF0 — «какие функции и ресурсы обеспечивают этот процесс».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70A80"/>
    <w:rsid w:val="59A7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2025-09-29T09:53:00Z</dcterms:created>
  <dc:creator>Дмитрий Ведерни�</dc:creator>
  <cp:lastModifiedBy>Дмитрий Ведерни�</cp:lastModifiedBy>
  <dcterms:modified xsi:type="dcterms:W3CDTF">2025-09-29T09:55:46Z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967F269C6C74435AAD0A29971D0FCA8C_11</vt:lpwstr>
  </property>
</Properties>
</file>