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50C8A">
      <w:pPr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Отчёт по предмету «Проектирование информационных систем»</w:t>
      </w:r>
    </w:p>
    <w:p w14:paraId="6333681B">
      <w:pPr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Курганкин Роман ИС 252 (2), Ведерников Дмитрий ИС 252 (3)</w:t>
      </w:r>
    </w:p>
    <w:p w14:paraId="6F92D4F2">
      <w:pPr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Тема «Интернет магазин продажи игр на носителях»</w:t>
      </w:r>
    </w:p>
    <w:p w14:paraId="4AA76017">
      <w:pPr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ПРАКТИЧЕСКАЯ РАБОТА №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9</w:t>
      </w:r>
      <w:r>
        <w:rPr>
          <w:rFonts w:hint="default" w:ascii="Times New Roman" w:hAnsi="Times New Roman" w:cs="Times New Roman"/>
          <w:sz w:val="24"/>
          <w:szCs w:val="24"/>
        </w:rPr>
        <w:t>. CASE-средства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007D153F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Освоить работу с Enterprise Architect / Visual Paradigm.</w:t>
      </w:r>
    </w:p>
    <w:p w14:paraId="284DCD76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071BD544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Перенести построенные модели (DFD, ER, UML) в CASE-средство.</w:t>
      </w:r>
    </w:p>
    <w:p w14:paraId="3DE83BA1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38BA6D94">
      <w:pPr>
        <w:wordWrap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</w:rPr>
        <w:t>Сгенерировать документацию автоматически.</w:t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6353810" cy="5037455"/>
            <wp:effectExtent l="0" t="0" r="8890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3810" cy="503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Text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41AB3"/>
    <w:rsid w:val="06341A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2025-10-20T16:59:00Z</dcterms:created>
  <dc:creator>Dimon</dc:creator>
  <cp:lastModifiedBy>Дмитрий Ведерни�</cp:lastModifiedBy>
  <dcterms:modified xsi:type="dcterms:W3CDTF">2025-10-20T17:05:41Z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650FA1256E0E4E5B925CBC9CB3995389_11</vt:lpwstr>
  </property>
</Properties>
</file>