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E3618" w14:textId="7C42A721" w:rsidR="00326B1F" w:rsidRPr="00326B1F" w:rsidRDefault="00326B1F" w:rsidP="00326B1F">
      <w:pPr>
        <w:pStyle w:val="a3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B1F">
        <w:rPr>
          <w:rFonts w:ascii="Times New Roman" w:hAnsi="Times New Roman" w:cs="Times New Roman"/>
          <w:b/>
          <w:bCs/>
          <w:sz w:val="28"/>
          <w:szCs w:val="28"/>
        </w:rPr>
        <w:t xml:space="preserve">Переважні права і недійсність правочину, </w:t>
      </w:r>
    </w:p>
    <w:p w14:paraId="34C243D5" w14:textId="77777777" w:rsidR="00326B1F" w:rsidRPr="00326B1F" w:rsidRDefault="00326B1F" w:rsidP="00326B1F">
      <w:pPr>
        <w:pStyle w:val="a3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B1F">
        <w:rPr>
          <w:rFonts w:ascii="Times New Roman" w:hAnsi="Times New Roman" w:cs="Times New Roman"/>
          <w:b/>
          <w:bCs/>
          <w:sz w:val="28"/>
          <w:szCs w:val="28"/>
        </w:rPr>
        <w:t xml:space="preserve">відмова від права і відчуження: </w:t>
      </w:r>
    </w:p>
    <w:p w14:paraId="2412A463" w14:textId="4D018940" w:rsidR="00326B1F" w:rsidRPr="00326B1F" w:rsidRDefault="00326B1F" w:rsidP="00326B1F">
      <w:pPr>
        <w:pStyle w:val="a3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B1F">
        <w:rPr>
          <w:rFonts w:ascii="Times New Roman" w:hAnsi="Times New Roman" w:cs="Times New Roman"/>
          <w:b/>
          <w:bCs/>
          <w:sz w:val="28"/>
          <w:szCs w:val="28"/>
        </w:rPr>
        <w:t>коли в одній справі зійшлося чотири категорії одночасно</w:t>
      </w:r>
    </w:p>
    <w:p w14:paraId="4EFB4706" w14:textId="77777777" w:rsidR="00326B1F" w:rsidRPr="00326B1F" w:rsidRDefault="00326B1F" w:rsidP="00326B1F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79A3032" w14:textId="136CF263" w:rsidR="004F17A9" w:rsidRPr="009F159E" w:rsidRDefault="004F17A9" w:rsidP="009F159E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159E">
        <w:rPr>
          <w:rFonts w:ascii="Times New Roman" w:hAnsi="Times New Roman" w:cs="Times New Roman"/>
          <w:sz w:val="28"/>
          <w:szCs w:val="28"/>
        </w:rPr>
        <w:t>Цікавою для аналізу бачиться Постанова КЦС ВС від  06 листопада 2019 року справа № 490/7071/16-ц (</w:t>
      </w:r>
      <w:hyperlink r:id="rId4" w:history="1">
        <w:r w:rsidRPr="009F159E">
          <w:rPr>
            <w:rStyle w:val="a4"/>
            <w:rFonts w:ascii="Times New Roman" w:hAnsi="Times New Roman" w:cs="Times New Roman"/>
            <w:sz w:val="28"/>
            <w:szCs w:val="28"/>
          </w:rPr>
          <w:t>http://reyestr.court.gov.ua/Review/85493183</w:t>
        </w:r>
      </w:hyperlink>
      <w:r w:rsidRPr="009F159E">
        <w:rPr>
          <w:rFonts w:ascii="Times New Roman" w:hAnsi="Times New Roman" w:cs="Times New Roman"/>
          <w:sz w:val="28"/>
          <w:szCs w:val="28"/>
        </w:rPr>
        <w:t>)</w:t>
      </w:r>
      <w:r w:rsidR="00326B1F">
        <w:rPr>
          <w:rFonts w:ascii="Times New Roman" w:hAnsi="Times New Roman" w:cs="Times New Roman"/>
          <w:sz w:val="28"/>
          <w:szCs w:val="28"/>
        </w:rPr>
        <w:t xml:space="preserve">, яка стосувалася </w:t>
      </w:r>
      <w:r w:rsidRPr="009F159E">
        <w:rPr>
          <w:rFonts w:ascii="Times New Roman" w:hAnsi="Times New Roman" w:cs="Times New Roman"/>
          <w:sz w:val="28"/>
          <w:szCs w:val="28"/>
        </w:rPr>
        <w:t xml:space="preserve">відчуження майнових прав інтелектуальної власності </w:t>
      </w:r>
      <w:r w:rsidR="00326B1F">
        <w:rPr>
          <w:rFonts w:ascii="Times New Roman" w:hAnsi="Times New Roman" w:cs="Times New Roman"/>
          <w:sz w:val="28"/>
          <w:szCs w:val="28"/>
        </w:rPr>
        <w:t>на сорти рослин</w:t>
      </w:r>
      <w:r w:rsidRPr="009F159E">
        <w:rPr>
          <w:rFonts w:ascii="Times New Roman" w:hAnsi="Times New Roman" w:cs="Times New Roman"/>
          <w:sz w:val="28"/>
          <w:szCs w:val="28"/>
        </w:rPr>
        <w:t>. В цій справі спостерігаються такі паралелі: (а) поняття відмови від права та її співвідношення з укладенням договору про відчуження прав; (б)</w:t>
      </w:r>
      <w:r w:rsidR="00326B1F">
        <w:rPr>
          <w:rFonts w:ascii="Times New Roman" w:hAnsi="Times New Roman" w:cs="Times New Roman"/>
          <w:sz w:val="28"/>
          <w:szCs w:val="28"/>
        </w:rPr>
        <w:t> </w:t>
      </w:r>
      <w:r w:rsidRPr="009F159E">
        <w:rPr>
          <w:rFonts w:ascii="Times New Roman" w:hAnsi="Times New Roman" w:cs="Times New Roman"/>
          <w:sz w:val="28"/>
          <w:szCs w:val="28"/>
        </w:rPr>
        <w:t>поняття переважного права; (в) підстави недійсності правочину.</w:t>
      </w:r>
    </w:p>
    <w:p w14:paraId="4EC40851" w14:textId="69DBC4A9" w:rsidR="00133505" w:rsidRDefault="004F17A9" w:rsidP="009F159E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159E">
        <w:rPr>
          <w:rFonts w:ascii="Times New Roman" w:hAnsi="Times New Roman" w:cs="Times New Roman"/>
          <w:sz w:val="28"/>
          <w:szCs w:val="28"/>
        </w:rPr>
        <w:t xml:space="preserve">Проблема полягає у тому, що один із авторів сортів рослин, володільцем патентів на які </w:t>
      </w:r>
      <w:r w:rsidR="00326B1F">
        <w:rPr>
          <w:rFonts w:ascii="Times New Roman" w:hAnsi="Times New Roman" w:cs="Times New Roman"/>
          <w:sz w:val="28"/>
          <w:szCs w:val="28"/>
        </w:rPr>
        <w:t>було</w:t>
      </w:r>
      <w:r w:rsidRPr="009F159E">
        <w:rPr>
          <w:rFonts w:ascii="Times New Roman" w:hAnsi="Times New Roman" w:cs="Times New Roman"/>
          <w:sz w:val="28"/>
          <w:szCs w:val="28"/>
        </w:rPr>
        <w:t xml:space="preserve"> ТОВ «Науковий інститут селекції», дізнавшись про передачу цих прав за договорами певній особі, вважав свої права </w:t>
      </w:r>
      <w:r w:rsidR="00326B1F">
        <w:rPr>
          <w:rFonts w:ascii="Times New Roman" w:hAnsi="Times New Roman" w:cs="Times New Roman"/>
          <w:sz w:val="28"/>
          <w:szCs w:val="28"/>
        </w:rPr>
        <w:t xml:space="preserve">як автора сортів </w:t>
      </w:r>
      <w:r w:rsidRPr="009F159E">
        <w:rPr>
          <w:rFonts w:ascii="Times New Roman" w:hAnsi="Times New Roman" w:cs="Times New Roman"/>
          <w:sz w:val="28"/>
          <w:szCs w:val="28"/>
        </w:rPr>
        <w:t>порушеними. В якості підстави порушення позивач вказував на ст. 51 Закону Украйни «Про охорону прав на сорти рослин», якою</w:t>
      </w:r>
      <w:r w:rsidR="0013350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F159E">
        <w:rPr>
          <w:rFonts w:ascii="Times New Roman" w:hAnsi="Times New Roman" w:cs="Times New Roman"/>
          <w:sz w:val="28"/>
          <w:szCs w:val="28"/>
        </w:rPr>
        <w:t xml:space="preserve"> на його думку</w:t>
      </w:r>
      <w:r w:rsidR="0013350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F159E">
        <w:rPr>
          <w:rFonts w:ascii="Times New Roman" w:hAnsi="Times New Roman" w:cs="Times New Roman"/>
          <w:sz w:val="28"/>
          <w:szCs w:val="28"/>
        </w:rPr>
        <w:t xml:space="preserve"> передбачається переважне право авторів сорту стати суб`єктом майнового права інтелектуальної власності на цей сорт в разі, якщо ТОВ «Науковий інститут селекції» мало намір  відчужити ці права. </w:t>
      </w:r>
    </w:p>
    <w:p w14:paraId="331AECE9" w14:textId="77777777" w:rsidR="00133505" w:rsidRDefault="004F17A9" w:rsidP="009F159E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159E">
        <w:rPr>
          <w:rFonts w:ascii="Times New Roman" w:hAnsi="Times New Roman" w:cs="Times New Roman"/>
          <w:sz w:val="28"/>
          <w:szCs w:val="28"/>
        </w:rPr>
        <w:t xml:space="preserve">Суд першої інстанції позов задовольнив. </w:t>
      </w:r>
    </w:p>
    <w:p w14:paraId="0137CB61" w14:textId="04A738C9" w:rsidR="004F17A9" w:rsidRPr="009F159E" w:rsidRDefault="004F17A9" w:rsidP="009F159E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159E">
        <w:rPr>
          <w:rFonts w:ascii="Times New Roman" w:hAnsi="Times New Roman" w:cs="Times New Roman"/>
          <w:sz w:val="28"/>
          <w:szCs w:val="28"/>
        </w:rPr>
        <w:t>Апеляційний суд задовольнив апеляційну скаргу частково, мотивуючи тим, що недійсність договору як спосіб захисту в цьому випадку неприйнятний</w:t>
      </w:r>
      <w:r w:rsidR="00326B1F">
        <w:rPr>
          <w:rFonts w:ascii="Times New Roman" w:hAnsi="Times New Roman" w:cs="Times New Roman"/>
          <w:sz w:val="28"/>
          <w:szCs w:val="28"/>
        </w:rPr>
        <w:t>,</w:t>
      </w:r>
      <w:r w:rsidRPr="009F159E">
        <w:rPr>
          <w:rFonts w:ascii="Times New Roman" w:hAnsi="Times New Roman" w:cs="Times New Roman"/>
          <w:sz w:val="28"/>
          <w:szCs w:val="28"/>
        </w:rPr>
        <w:t xml:space="preserve"> і слід застосовувати такий спосіб захисту, як переведення на позивача прав набувача майнових прав інтелектуальної власності</w:t>
      </w:r>
      <w:r w:rsidR="00326B1F">
        <w:rPr>
          <w:rFonts w:ascii="Times New Roman" w:hAnsi="Times New Roman" w:cs="Times New Roman"/>
          <w:sz w:val="28"/>
          <w:szCs w:val="28"/>
        </w:rPr>
        <w:t xml:space="preserve"> (за аналогією зі ст. 362 ЦК України)</w:t>
      </w:r>
      <w:r w:rsidRPr="009F159E">
        <w:rPr>
          <w:rFonts w:ascii="Times New Roman" w:hAnsi="Times New Roman" w:cs="Times New Roman"/>
          <w:sz w:val="28"/>
          <w:szCs w:val="28"/>
        </w:rPr>
        <w:t>.</w:t>
      </w:r>
    </w:p>
    <w:p w14:paraId="303DBE37" w14:textId="0D4AB090" w:rsidR="00133505" w:rsidRDefault="00AD2129" w:rsidP="009F159E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159E">
        <w:rPr>
          <w:rFonts w:ascii="Times New Roman" w:hAnsi="Times New Roman" w:cs="Times New Roman"/>
          <w:sz w:val="28"/>
          <w:szCs w:val="28"/>
        </w:rPr>
        <w:t>У постанові ж КЦС ВС зазн</w:t>
      </w:r>
      <w:r w:rsidR="002B62E3" w:rsidRPr="009F159E">
        <w:rPr>
          <w:rFonts w:ascii="Times New Roman" w:hAnsi="Times New Roman" w:cs="Times New Roman"/>
          <w:sz w:val="28"/>
          <w:szCs w:val="28"/>
        </w:rPr>
        <w:t xml:space="preserve">ачається </w:t>
      </w:r>
      <w:r w:rsidR="00133505" w:rsidRPr="00133505">
        <w:rPr>
          <w:rFonts w:ascii="Times New Roman" w:hAnsi="Times New Roman" w:cs="Times New Roman"/>
          <w:sz w:val="28"/>
          <w:szCs w:val="28"/>
        </w:rPr>
        <w:t>про</w:t>
      </w:r>
      <w:r w:rsidR="002B62E3" w:rsidRPr="009F159E">
        <w:rPr>
          <w:rFonts w:ascii="Times New Roman" w:hAnsi="Times New Roman" w:cs="Times New Roman"/>
          <w:sz w:val="28"/>
          <w:szCs w:val="28"/>
        </w:rPr>
        <w:t xml:space="preserve"> принципово інше</w:t>
      </w:r>
      <w:r w:rsidR="00326B1F">
        <w:rPr>
          <w:rFonts w:ascii="Times New Roman" w:hAnsi="Times New Roman" w:cs="Times New Roman"/>
          <w:sz w:val="28"/>
          <w:szCs w:val="28"/>
        </w:rPr>
        <w:t>:</w:t>
      </w:r>
      <w:r w:rsidR="002B62E3" w:rsidRPr="009F159E">
        <w:rPr>
          <w:rFonts w:ascii="Times New Roman" w:hAnsi="Times New Roman" w:cs="Times New Roman"/>
          <w:sz w:val="28"/>
          <w:szCs w:val="28"/>
        </w:rPr>
        <w:t xml:space="preserve"> (1) що відмова від права і відчуження права є різними правовими категоріями; (2) що у позивача відсутнє переважне право, а відтак воно</w:t>
      </w:r>
      <w:r w:rsidRPr="009F159E">
        <w:rPr>
          <w:rFonts w:ascii="Times New Roman" w:hAnsi="Times New Roman" w:cs="Times New Roman"/>
          <w:sz w:val="28"/>
          <w:szCs w:val="28"/>
        </w:rPr>
        <w:t xml:space="preserve"> </w:t>
      </w:r>
      <w:r w:rsidR="009F159E" w:rsidRPr="009F159E">
        <w:rPr>
          <w:rFonts w:ascii="Times New Roman" w:hAnsi="Times New Roman" w:cs="Times New Roman"/>
          <w:sz w:val="28"/>
          <w:szCs w:val="28"/>
        </w:rPr>
        <w:t>не може</w:t>
      </w:r>
      <w:r w:rsidR="002B62E3" w:rsidRPr="009F159E">
        <w:rPr>
          <w:rFonts w:ascii="Times New Roman" w:hAnsi="Times New Roman" w:cs="Times New Roman"/>
          <w:sz w:val="28"/>
          <w:szCs w:val="28"/>
        </w:rPr>
        <w:t xml:space="preserve"> бути порушеним; (3) що підстав для недійсності договору відчуження майнових прав інтелектуальної власності взагалі немає. </w:t>
      </w:r>
    </w:p>
    <w:p w14:paraId="5481FA37" w14:textId="61F9339B" w:rsidR="002B62E3" w:rsidRPr="009F159E" w:rsidRDefault="002B62E3" w:rsidP="009F159E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159E">
        <w:rPr>
          <w:rFonts w:ascii="Times New Roman" w:hAnsi="Times New Roman" w:cs="Times New Roman"/>
          <w:sz w:val="28"/>
          <w:szCs w:val="28"/>
        </w:rPr>
        <w:t>З цією по</w:t>
      </w:r>
      <w:r w:rsidR="009F159E" w:rsidRPr="009F159E">
        <w:rPr>
          <w:rFonts w:ascii="Times New Roman" w:hAnsi="Times New Roman" w:cs="Times New Roman"/>
          <w:sz w:val="28"/>
          <w:szCs w:val="28"/>
        </w:rPr>
        <w:t>зицією слід повністю погодитися. Між тим</w:t>
      </w:r>
      <w:r w:rsidRPr="009F159E">
        <w:rPr>
          <w:rFonts w:ascii="Times New Roman" w:hAnsi="Times New Roman" w:cs="Times New Roman"/>
          <w:sz w:val="28"/>
          <w:szCs w:val="28"/>
        </w:rPr>
        <w:t xml:space="preserve"> матеріали цієї справи при проходженні її по різним інстанціям та аргументація судових рішень доводять відсутність у суддів розуміння базових цивілістичних категорій. </w:t>
      </w:r>
    </w:p>
    <w:p w14:paraId="1968EFBE" w14:textId="77777777" w:rsidR="00AD2129" w:rsidRPr="009F159E" w:rsidRDefault="00AD2129" w:rsidP="009F159E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159E">
        <w:rPr>
          <w:rFonts w:ascii="Times New Roman" w:hAnsi="Times New Roman" w:cs="Times New Roman"/>
          <w:sz w:val="28"/>
          <w:szCs w:val="28"/>
        </w:rPr>
        <w:t xml:space="preserve">По-перше, </w:t>
      </w:r>
      <w:r w:rsidRPr="009F159E">
        <w:rPr>
          <w:rFonts w:ascii="Times New Roman" w:hAnsi="Times New Roman" w:cs="Times New Roman"/>
          <w:i/>
          <w:sz w:val="28"/>
          <w:szCs w:val="28"/>
        </w:rPr>
        <w:t>відмова</w:t>
      </w:r>
      <w:r w:rsidRPr="009F159E">
        <w:rPr>
          <w:rFonts w:ascii="Times New Roman" w:hAnsi="Times New Roman" w:cs="Times New Roman"/>
          <w:sz w:val="28"/>
          <w:szCs w:val="28"/>
        </w:rPr>
        <w:t xml:space="preserve"> від права та його </w:t>
      </w:r>
      <w:r w:rsidRPr="009F159E">
        <w:rPr>
          <w:rFonts w:ascii="Times New Roman" w:hAnsi="Times New Roman" w:cs="Times New Roman"/>
          <w:i/>
          <w:sz w:val="28"/>
          <w:szCs w:val="28"/>
        </w:rPr>
        <w:t>відчуження</w:t>
      </w:r>
      <w:r w:rsidRPr="009F159E">
        <w:rPr>
          <w:rFonts w:ascii="Times New Roman" w:hAnsi="Times New Roman" w:cs="Times New Roman"/>
          <w:sz w:val="28"/>
          <w:szCs w:val="28"/>
        </w:rPr>
        <w:t xml:space="preserve"> є різними способами припинення в особи майнового права. Якщо </w:t>
      </w:r>
      <w:r w:rsidRPr="009F159E">
        <w:rPr>
          <w:rFonts w:ascii="Times New Roman" w:hAnsi="Times New Roman" w:cs="Times New Roman"/>
          <w:i/>
          <w:sz w:val="28"/>
          <w:szCs w:val="28"/>
        </w:rPr>
        <w:t>відмова</w:t>
      </w:r>
      <w:r w:rsidRPr="009F159E">
        <w:rPr>
          <w:rFonts w:ascii="Times New Roman" w:hAnsi="Times New Roman" w:cs="Times New Roman"/>
          <w:sz w:val="28"/>
          <w:szCs w:val="28"/>
        </w:rPr>
        <w:t xml:space="preserve"> є одностороннім правочином,  що вчиняється однією особою за власною волею і спрямована на припинення в неї права, а не на його передання  (відступлення, продаж) іншій особі, то </w:t>
      </w:r>
      <w:r w:rsidR="00EC116A" w:rsidRPr="009F159E">
        <w:rPr>
          <w:rFonts w:ascii="Times New Roman" w:hAnsi="Times New Roman" w:cs="Times New Roman"/>
          <w:i/>
          <w:sz w:val="28"/>
          <w:szCs w:val="28"/>
        </w:rPr>
        <w:t>перед</w:t>
      </w:r>
      <w:r w:rsidR="009F159E" w:rsidRPr="009F159E">
        <w:rPr>
          <w:rFonts w:ascii="Times New Roman" w:hAnsi="Times New Roman" w:cs="Times New Roman"/>
          <w:i/>
          <w:sz w:val="28"/>
          <w:szCs w:val="28"/>
        </w:rPr>
        <w:t>а</w:t>
      </w:r>
      <w:r w:rsidR="00EC116A" w:rsidRPr="009F159E">
        <w:rPr>
          <w:rFonts w:ascii="Times New Roman" w:hAnsi="Times New Roman" w:cs="Times New Roman"/>
          <w:i/>
          <w:sz w:val="28"/>
          <w:szCs w:val="28"/>
        </w:rPr>
        <w:t>ча</w:t>
      </w:r>
      <w:r w:rsidR="00EC116A" w:rsidRPr="009F159E">
        <w:rPr>
          <w:rFonts w:ascii="Times New Roman" w:hAnsi="Times New Roman" w:cs="Times New Roman"/>
          <w:sz w:val="28"/>
          <w:szCs w:val="28"/>
        </w:rPr>
        <w:t xml:space="preserve"> або </w:t>
      </w:r>
      <w:r w:rsidRPr="009F159E">
        <w:rPr>
          <w:rFonts w:ascii="Times New Roman" w:hAnsi="Times New Roman" w:cs="Times New Roman"/>
          <w:i/>
          <w:sz w:val="28"/>
          <w:szCs w:val="28"/>
        </w:rPr>
        <w:t>відчуження</w:t>
      </w:r>
      <w:r w:rsidRPr="009F159E">
        <w:rPr>
          <w:rFonts w:ascii="Times New Roman" w:hAnsi="Times New Roman" w:cs="Times New Roman"/>
          <w:sz w:val="28"/>
          <w:szCs w:val="28"/>
        </w:rPr>
        <w:t xml:space="preserve"> є двостороннім  правочином, тобто договором, за яким припинення права в однієї особи безпосередньо пов’язаного з його набуттям іншою особою.</w:t>
      </w:r>
      <w:r w:rsidR="002B62E3" w:rsidRPr="009F159E">
        <w:rPr>
          <w:rFonts w:ascii="Times New Roman" w:hAnsi="Times New Roman" w:cs="Times New Roman"/>
          <w:sz w:val="28"/>
          <w:szCs w:val="28"/>
        </w:rPr>
        <w:t xml:space="preserve"> І саме на це спрямований такий договір.</w:t>
      </w:r>
    </w:p>
    <w:p w14:paraId="69C21035" w14:textId="6DBD4769" w:rsidR="004F17A9" w:rsidRPr="009F159E" w:rsidRDefault="002B62E3" w:rsidP="009F159E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159E">
        <w:rPr>
          <w:rFonts w:ascii="Times New Roman" w:hAnsi="Times New Roman" w:cs="Times New Roman"/>
          <w:sz w:val="28"/>
          <w:szCs w:val="28"/>
        </w:rPr>
        <w:t xml:space="preserve">По-друге, переважне право (не поглиблюючись в його правову природу) надає особі певні переваги перед іншими. І таке право з його перевагами має встановлюватись законом. </w:t>
      </w:r>
      <w:r w:rsidR="00261874" w:rsidRPr="009F159E">
        <w:rPr>
          <w:rFonts w:ascii="Times New Roman" w:hAnsi="Times New Roman" w:cs="Times New Roman"/>
          <w:sz w:val="28"/>
          <w:szCs w:val="28"/>
        </w:rPr>
        <w:t xml:space="preserve">У  </w:t>
      </w:r>
      <w:r w:rsidR="00AD2129" w:rsidRPr="009F159E">
        <w:rPr>
          <w:rFonts w:ascii="Times New Roman" w:hAnsi="Times New Roman" w:cs="Times New Roman"/>
          <w:sz w:val="28"/>
          <w:szCs w:val="28"/>
        </w:rPr>
        <w:t xml:space="preserve">ст. </w:t>
      </w:r>
      <w:r w:rsidR="00C17B96" w:rsidRPr="009F159E">
        <w:rPr>
          <w:rFonts w:ascii="Times New Roman" w:hAnsi="Times New Roman" w:cs="Times New Roman"/>
          <w:sz w:val="28"/>
          <w:szCs w:val="28"/>
        </w:rPr>
        <w:t xml:space="preserve">51 </w:t>
      </w:r>
      <w:r w:rsidR="00AD2129" w:rsidRPr="009F159E">
        <w:rPr>
          <w:rFonts w:ascii="Times New Roman" w:hAnsi="Times New Roman" w:cs="Times New Roman"/>
          <w:sz w:val="28"/>
          <w:szCs w:val="28"/>
        </w:rPr>
        <w:t xml:space="preserve">Закону Украйни «Про охорону прав на сорти рослин» </w:t>
      </w:r>
      <w:r w:rsidR="00261874" w:rsidRPr="009F159E">
        <w:rPr>
          <w:rFonts w:ascii="Times New Roman" w:hAnsi="Times New Roman" w:cs="Times New Roman"/>
          <w:sz w:val="28"/>
          <w:szCs w:val="28"/>
        </w:rPr>
        <w:t xml:space="preserve">зазначається </w:t>
      </w:r>
      <w:r w:rsidR="00326B1F">
        <w:rPr>
          <w:rFonts w:ascii="Times New Roman" w:hAnsi="Times New Roman" w:cs="Times New Roman"/>
          <w:sz w:val="28"/>
          <w:szCs w:val="28"/>
        </w:rPr>
        <w:t>про</w:t>
      </w:r>
      <w:r w:rsidR="00AD2129" w:rsidRPr="009F159E">
        <w:rPr>
          <w:rFonts w:ascii="Times New Roman" w:hAnsi="Times New Roman" w:cs="Times New Roman"/>
          <w:sz w:val="28"/>
          <w:szCs w:val="28"/>
        </w:rPr>
        <w:t xml:space="preserve"> переважне право автора </w:t>
      </w:r>
      <w:r w:rsidR="00A04891" w:rsidRPr="009F159E">
        <w:rPr>
          <w:rFonts w:ascii="Times New Roman" w:hAnsi="Times New Roman" w:cs="Times New Roman"/>
          <w:sz w:val="28"/>
          <w:szCs w:val="28"/>
        </w:rPr>
        <w:t>сорту.</w:t>
      </w:r>
      <w:r w:rsidR="00261874" w:rsidRPr="009F159E">
        <w:rPr>
          <w:rFonts w:ascii="Times New Roman" w:hAnsi="Times New Roman" w:cs="Times New Roman"/>
          <w:sz w:val="28"/>
          <w:szCs w:val="28"/>
        </w:rPr>
        <w:t xml:space="preserve"> </w:t>
      </w:r>
      <w:r w:rsidR="00A04891" w:rsidRPr="009F159E">
        <w:rPr>
          <w:rFonts w:ascii="Times New Roman" w:hAnsi="Times New Roman" w:cs="Times New Roman"/>
          <w:sz w:val="28"/>
          <w:szCs w:val="28"/>
        </w:rPr>
        <w:t>Прот</w:t>
      </w:r>
      <w:r w:rsidR="00261874" w:rsidRPr="009F159E">
        <w:rPr>
          <w:rFonts w:ascii="Times New Roman" w:hAnsi="Times New Roman" w:cs="Times New Roman"/>
          <w:sz w:val="28"/>
          <w:szCs w:val="28"/>
        </w:rPr>
        <w:t xml:space="preserve">е </w:t>
      </w:r>
      <w:r w:rsidR="00A04891" w:rsidRPr="009F159E">
        <w:rPr>
          <w:rFonts w:ascii="Times New Roman" w:hAnsi="Times New Roman" w:cs="Times New Roman"/>
          <w:sz w:val="28"/>
          <w:szCs w:val="28"/>
        </w:rPr>
        <w:t xml:space="preserve">видається, що така можливість, надана Законом цій особі, є не перевагою, </w:t>
      </w:r>
      <w:r w:rsidR="00A04891" w:rsidRPr="009F159E">
        <w:rPr>
          <w:rFonts w:ascii="Times New Roman" w:hAnsi="Times New Roman" w:cs="Times New Roman"/>
          <w:sz w:val="28"/>
          <w:szCs w:val="28"/>
        </w:rPr>
        <w:lastRenderedPageBreak/>
        <w:t xml:space="preserve">встановленою для неї в порівнянні з іншими особами, а визначенням суб’єкту, до якого перейдуть майнові права інтелектуальної власності, якщо від них відмовиться управомочена особа. Тоді </w:t>
      </w:r>
      <w:r w:rsidR="00C17B96" w:rsidRPr="009F159E">
        <w:rPr>
          <w:rFonts w:ascii="Times New Roman" w:hAnsi="Times New Roman" w:cs="Times New Roman"/>
          <w:sz w:val="28"/>
          <w:szCs w:val="28"/>
        </w:rPr>
        <w:t>є необхідність у визначенні того, хто ж ці права набуде, бо не може статися</w:t>
      </w:r>
      <w:r w:rsidR="00326B1F" w:rsidRPr="00326B1F">
        <w:rPr>
          <w:rFonts w:ascii="Times New Roman" w:hAnsi="Times New Roman" w:cs="Times New Roman"/>
          <w:sz w:val="28"/>
          <w:szCs w:val="28"/>
        </w:rPr>
        <w:t xml:space="preserve"> </w:t>
      </w:r>
      <w:r w:rsidR="00326B1F" w:rsidRPr="009F159E">
        <w:rPr>
          <w:rFonts w:ascii="Times New Roman" w:hAnsi="Times New Roman" w:cs="Times New Roman"/>
          <w:sz w:val="28"/>
          <w:szCs w:val="28"/>
        </w:rPr>
        <w:t>так</w:t>
      </w:r>
      <w:r w:rsidR="00C17B96" w:rsidRPr="009F159E">
        <w:rPr>
          <w:rFonts w:ascii="Times New Roman" w:hAnsi="Times New Roman" w:cs="Times New Roman"/>
          <w:sz w:val="28"/>
          <w:szCs w:val="28"/>
        </w:rPr>
        <w:t xml:space="preserve">, щоб не було суб’єкта певних існуючих прав. До речі, Закон це не вирішив, зазначивши лише </w:t>
      </w:r>
      <w:r w:rsidR="00326B1F">
        <w:rPr>
          <w:rFonts w:ascii="Times New Roman" w:hAnsi="Times New Roman" w:cs="Times New Roman"/>
          <w:sz w:val="28"/>
          <w:szCs w:val="28"/>
        </w:rPr>
        <w:t>про</w:t>
      </w:r>
      <w:r w:rsidR="00C17B96" w:rsidRPr="009F159E">
        <w:rPr>
          <w:rFonts w:ascii="Times New Roman" w:hAnsi="Times New Roman" w:cs="Times New Roman"/>
          <w:sz w:val="28"/>
          <w:szCs w:val="28"/>
        </w:rPr>
        <w:t xml:space="preserve"> те, що ці права може набути автор. Водночас те, перед ким він має переваги і до кого перейде право, якщо автор ним не скористається, у Законі не встановл</w:t>
      </w:r>
      <w:r w:rsidR="009F159E" w:rsidRPr="009F159E">
        <w:rPr>
          <w:rFonts w:ascii="Times New Roman" w:hAnsi="Times New Roman" w:cs="Times New Roman"/>
          <w:sz w:val="28"/>
          <w:szCs w:val="28"/>
        </w:rPr>
        <w:t>ю</w:t>
      </w:r>
      <w:r w:rsidR="00C17B96" w:rsidRPr="009F159E">
        <w:rPr>
          <w:rFonts w:ascii="Times New Roman" w:hAnsi="Times New Roman" w:cs="Times New Roman"/>
          <w:sz w:val="28"/>
          <w:szCs w:val="28"/>
        </w:rPr>
        <w:t xml:space="preserve">ється.  </w:t>
      </w:r>
    </w:p>
    <w:p w14:paraId="54F4A655" w14:textId="3D07FA03" w:rsidR="00C17B96" w:rsidRPr="009F159E" w:rsidRDefault="00C17B96" w:rsidP="009F159E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159E">
        <w:rPr>
          <w:rFonts w:ascii="Times New Roman" w:hAnsi="Times New Roman" w:cs="Times New Roman"/>
          <w:sz w:val="28"/>
          <w:szCs w:val="28"/>
        </w:rPr>
        <w:t xml:space="preserve">По-третє, переважне право, про яке йдеться у ст. 51 </w:t>
      </w:r>
      <w:r w:rsidR="009F159E" w:rsidRPr="009F159E">
        <w:rPr>
          <w:rFonts w:ascii="Times New Roman" w:hAnsi="Times New Roman" w:cs="Times New Roman"/>
          <w:sz w:val="28"/>
          <w:szCs w:val="28"/>
        </w:rPr>
        <w:t>Закону Украї</w:t>
      </w:r>
      <w:r w:rsidRPr="009F159E">
        <w:rPr>
          <w:rFonts w:ascii="Times New Roman" w:hAnsi="Times New Roman" w:cs="Times New Roman"/>
          <w:sz w:val="28"/>
          <w:szCs w:val="28"/>
        </w:rPr>
        <w:t xml:space="preserve">ни «Про охорону прав на сорти рослин», має лише одну підставу – відмову від майнового права інтелектуальної власності його суб’єктом. </w:t>
      </w:r>
      <w:r w:rsidR="00EC116A" w:rsidRPr="009F159E">
        <w:rPr>
          <w:rFonts w:ascii="Times New Roman" w:hAnsi="Times New Roman" w:cs="Times New Roman"/>
          <w:sz w:val="28"/>
          <w:szCs w:val="28"/>
        </w:rPr>
        <w:t>Міністерство аграрної політики України у підзаконно</w:t>
      </w:r>
      <w:r w:rsidRPr="009F159E">
        <w:rPr>
          <w:rFonts w:ascii="Times New Roman" w:hAnsi="Times New Roman" w:cs="Times New Roman"/>
          <w:sz w:val="28"/>
          <w:szCs w:val="28"/>
        </w:rPr>
        <w:t>м</w:t>
      </w:r>
      <w:r w:rsidR="00EC116A" w:rsidRPr="009F159E">
        <w:rPr>
          <w:rFonts w:ascii="Times New Roman" w:hAnsi="Times New Roman" w:cs="Times New Roman"/>
          <w:sz w:val="28"/>
          <w:szCs w:val="28"/>
        </w:rPr>
        <w:t>у</w:t>
      </w:r>
      <w:r w:rsidRPr="009F159E">
        <w:rPr>
          <w:rFonts w:ascii="Times New Roman" w:hAnsi="Times New Roman" w:cs="Times New Roman"/>
          <w:sz w:val="28"/>
          <w:szCs w:val="28"/>
        </w:rPr>
        <w:t xml:space="preserve"> нормативно-правов</w:t>
      </w:r>
      <w:r w:rsidR="00EC116A" w:rsidRPr="009F159E">
        <w:rPr>
          <w:rFonts w:ascii="Times New Roman" w:hAnsi="Times New Roman" w:cs="Times New Roman"/>
          <w:sz w:val="28"/>
          <w:szCs w:val="28"/>
        </w:rPr>
        <w:t xml:space="preserve">ому акті не вправі розширювати коло цих підстав, адже, як вказувалось вище, </w:t>
      </w:r>
      <w:r w:rsidR="00EC116A" w:rsidRPr="009F159E">
        <w:rPr>
          <w:rFonts w:ascii="Times New Roman" w:hAnsi="Times New Roman" w:cs="Times New Roman"/>
          <w:i/>
          <w:sz w:val="28"/>
          <w:szCs w:val="28"/>
        </w:rPr>
        <w:t>передача</w:t>
      </w:r>
      <w:r w:rsidR="00EC116A" w:rsidRPr="009F159E">
        <w:rPr>
          <w:rFonts w:ascii="Times New Roman" w:hAnsi="Times New Roman" w:cs="Times New Roman"/>
          <w:sz w:val="28"/>
          <w:szCs w:val="28"/>
        </w:rPr>
        <w:t xml:space="preserve"> і </w:t>
      </w:r>
      <w:r w:rsidR="00EC116A" w:rsidRPr="009F159E">
        <w:rPr>
          <w:rFonts w:ascii="Times New Roman" w:hAnsi="Times New Roman" w:cs="Times New Roman"/>
          <w:i/>
          <w:sz w:val="28"/>
          <w:szCs w:val="28"/>
        </w:rPr>
        <w:t xml:space="preserve">відмова </w:t>
      </w:r>
      <w:r w:rsidR="00EC116A" w:rsidRPr="009F159E">
        <w:rPr>
          <w:rFonts w:ascii="Times New Roman" w:hAnsi="Times New Roman" w:cs="Times New Roman"/>
          <w:sz w:val="28"/>
          <w:szCs w:val="28"/>
        </w:rPr>
        <w:t>є різними правовими категоріями</w:t>
      </w:r>
      <w:r w:rsidR="00326B1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89DE5FE" w14:textId="77777777" w:rsidR="00EC116A" w:rsidRPr="009F159E" w:rsidRDefault="00EC116A" w:rsidP="009F159E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159E">
        <w:rPr>
          <w:rFonts w:ascii="Times New Roman" w:hAnsi="Times New Roman" w:cs="Times New Roman"/>
          <w:sz w:val="28"/>
          <w:szCs w:val="28"/>
        </w:rPr>
        <w:t xml:space="preserve">По-четверте, недійсність правочину є способом захисту права, а у відсутність у автора переважного права не може йтися про його порушення, а </w:t>
      </w:r>
      <w:r w:rsidR="009F159E" w:rsidRPr="009F159E">
        <w:rPr>
          <w:rFonts w:ascii="Times New Roman" w:hAnsi="Times New Roman" w:cs="Times New Roman"/>
          <w:sz w:val="28"/>
          <w:szCs w:val="28"/>
        </w:rPr>
        <w:t xml:space="preserve">тому </w:t>
      </w:r>
      <w:r w:rsidRPr="009F159E">
        <w:rPr>
          <w:rFonts w:ascii="Times New Roman" w:hAnsi="Times New Roman" w:cs="Times New Roman"/>
          <w:sz w:val="28"/>
          <w:szCs w:val="28"/>
        </w:rPr>
        <w:t xml:space="preserve">і </w:t>
      </w:r>
      <w:r w:rsidR="009F159E" w:rsidRPr="009F159E">
        <w:rPr>
          <w:rFonts w:ascii="Times New Roman" w:hAnsi="Times New Roman" w:cs="Times New Roman"/>
          <w:sz w:val="28"/>
          <w:szCs w:val="28"/>
        </w:rPr>
        <w:t>про захист. Відтак немає підстав для недій</w:t>
      </w:r>
      <w:r w:rsidR="009F159E">
        <w:rPr>
          <w:rFonts w:ascii="Times New Roman" w:hAnsi="Times New Roman" w:cs="Times New Roman"/>
          <w:sz w:val="28"/>
          <w:szCs w:val="28"/>
        </w:rPr>
        <w:t>с</w:t>
      </w:r>
      <w:r w:rsidR="009F159E" w:rsidRPr="009F159E">
        <w:rPr>
          <w:rFonts w:ascii="Times New Roman" w:hAnsi="Times New Roman" w:cs="Times New Roman"/>
          <w:sz w:val="28"/>
          <w:szCs w:val="28"/>
        </w:rPr>
        <w:t>ності договору</w:t>
      </w:r>
      <w:r w:rsidRPr="009F159E">
        <w:rPr>
          <w:rFonts w:ascii="Times New Roman" w:hAnsi="Times New Roman" w:cs="Times New Roman"/>
          <w:sz w:val="28"/>
          <w:szCs w:val="28"/>
        </w:rPr>
        <w:t xml:space="preserve"> з передачі майнового права інтелектуальної власності. </w:t>
      </w:r>
    </w:p>
    <w:p w14:paraId="6C8D1651" w14:textId="77777777" w:rsidR="004F17A9" w:rsidRPr="009F159E" w:rsidRDefault="004F17A9" w:rsidP="004F17A9">
      <w:pPr>
        <w:pStyle w:val="a3"/>
        <w:jc w:val="both"/>
      </w:pPr>
    </w:p>
    <w:p w14:paraId="7B9E017B" w14:textId="77777777" w:rsidR="00915DA5" w:rsidRPr="009F159E" w:rsidRDefault="009F159E" w:rsidP="0023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915DA5" w:rsidRPr="009F1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FA1"/>
    <w:rsid w:val="00133505"/>
    <w:rsid w:val="001A5492"/>
    <w:rsid w:val="00237FA1"/>
    <w:rsid w:val="00261874"/>
    <w:rsid w:val="002B62E3"/>
    <w:rsid w:val="00326B1F"/>
    <w:rsid w:val="004F17A9"/>
    <w:rsid w:val="00915DA5"/>
    <w:rsid w:val="009F159E"/>
    <w:rsid w:val="00A04891"/>
    <w:rsid w:val="00AD2129"/>
    <w:rsid w:val="00C17B96"/>
    <w:rsid w:val="00EC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1E02"/>
  <w15:docId w15:val="{CC8FF092-0053-416A-BAAF-9ED55CB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17A9"/>
    <w:pPr>
      <w:spacing w:after="0" w:line="240" w:lineRule="auto"/>
    </w:pPr>
    <w:rPr>
      <w:lang w:val="uk-UA"/>
    </w:rPr>
  </w:style>
  <w:style w:type="character" w:styleId="a4">
    <w:name w:val="Hyperlink"/>
    <w:basedOn w:val="a0"/>
    <w:uiPriority w:val="99"/>
    <w:unhideWhenUsed/>
    <w:rsid w:val="004F1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yestr.court.gov.ua/Review/854931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Наталья Филатова</cp:lastModifiedBy>
  <cp:revision>1</cp:revision>
  <dcterms:created xsi:type="dcterms:W3CDTF">2019-11-21T12:40:00Z</dcterms:created>
  <dcterms:modified xsi:type="dcterms:W3CDTF">2019-11-22T05:46:00Z</dcterms:modified>
</cp:coreProperties>
</file>