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35515F" w14:textId="6EDF3331">
      <w:pPr>
        <w:pStyle w:val="680"/>
        <w:pBdr/>
        <w:spacing/>
        <w:ind/>
        <w:rPr>
          <w:lang w:val="en-GB"/>
        </w:rPr>
      </w:pPr>
      <w:r>
        <w:rPr>
          <w:lang w:val="en-GB"/>
        </w:rPr>
        <w:t xml:space="preserve">Methods</w:t>
      </w:r>
      <w:r>
        <w:rPr>
          <w:lang w:val="en-GB"/>
        </w:rPr>
      </w:r>
    </w:p>
    <w:p w14:paraId="2DE2B899">
      <w:pPr>
        <w:pBdr/>
        <w:spacing/>
        <w:ind/>
        <w:rPr>
          <w:highlight w:val="none"/>
          <w:lang w:val="en-US"/>
        </w:rPr>
      </w:pPr>
      <w:r>
        <w:rPr>
          <w:highlight w:val="none"/>
          <w:lang w:val="en-US"/>
        </w:rPr>
        <w:t xml:space="preserve">Last Version of Methods: 25.09.2026</w:t>
      </w:r>
      <w:r>
        <w:rPr>
          <w:lang w:val="en-GB"/>
        </w:rPr>
      </w:r>
    </w:p>
    <w:p w14:paraId="5DFA6B9A">
      <w:pPr>
        <w:pBdr/>
        <w:spacing/>
        <w:ind/>
        <w:rPr>
          <w:lang w:val="en-GB"/>
        </w:rPr>
      </w:pPr>
      <w:r>
        <w:rPr>
          <w:highlight w:val="none"/>
          <w:lang w:val="en-US"/>
        </w:rPr>
        <w:t xml:space="preserve">Last Version of Prompts: 25.09.2026</w:t>
      </w:r>
      <w:r>
        <w:rPr>
          <w:highlight w:val="none"/>
          <w:lang w:val="en-GB"/>
        </w:rPr>
      </w:r>
    </w:p>
    <w:p w14:paraId="6C6D6468" w14:textId="71473CE7">
      <w:pPr>
        <w:pBdr/>
        <w:spacing/>
        <w:ind/>
        <w:rPr>
          <w:highlight w:val="none"/>
          <w:lang w:val="en-GB"/>
        </w:rPr>
      </w:pPr>
      <w:r>
        <w:rPr>
          <w:lang w:val="en-GB"/>
        </w:rPr>
        <w:t xml:space="preserve">For the standardized annotation of</w:t>
      </w:r>
      <w:r>
        <w:rPr>
          <w:lang w:val="en-GB"/>
        </w:rPr>
        <w:t xml:space="preserve"> the radiology reports within a patient trajectory of existing radiology reports of different modalities</w:t>
      </w:r>
      <w:r>
        <w:rPr>
          <w:lang w:val="en-GB"/>
        </w:rPr>
        <w:t xml:space="preserve">,</w:t>
      </w:r>
      <w:r>
        <w:rPr>
          <w:lang w:val="en-GB"/>
        </w:rPr>
        <w:t xml:space="preserve"> the customized platform </w:t>
      </w:r>
      <w:r>
        <w:rPr>
          <w:lang w:val="en-GB"/>
        </w:rPr>
        <w:t xml:space="preserve">RadTag </w:t>
      </w:r>
      <w:r>
        <w:rPr>
          <w:lang w:val="en-GB"/>
        </w:rPr>
        <w:t xml:space="preserve">was built to set a time axis with the radiology reports put chronologically</w:t>
      </w:r>
      <w:r>
        <w:rPr>
          <w:lang w:val="en-GB"/>
        </w:rPr>
        <w:t xml:space="preserve">,</w:t>
      </w:r>
      <w:r>
        <w:rPr>
          <w:lang w:val="en-GB"/>
        </w:rPr>
        <w:t xml:space="preserve"> starting from the earliest radiology report available until the latest one extracted from the database available by the time the annotation was being done. </w:t>
      </w:r>
      <w:r>
        <w:rPr>
          <w:lang w:val="en-GB"/>
        </w:rPr>
      </w:r>
    </w:p>
    <w:p w14:paraId="033F30E7" w14:textId="00AB98BE">
      <w:pPr>
        <w:pBdr/>
        <w:spacing/>
        <w:ind/>
        <w:rPr>
          <w:lang w:val="en-GB"/>
        </w:rPr>
      </w:pPr>
      <w:r>
        <w:rPr>
          <w:lang w:val="en-GB"/>
        </w:rPr>
        <w:t xml:space="preserve">To ensure </w:t>
      </w:r>
      <w:r>
        <w:rPr>
          <w:lang w:val="en-GB"/>
          <w14:ligatures w14:val="none"/>
        </w:rPr>
        <w:t xml:space="preserve">reproducibility, we established a methodology with clear rules and a schema for each part</w:t>
      </w:r>
      <w:r>
        <w:rPr>
          <w:lang w:val="en-GB"/>
        </w:rPr>
        <w:t xml:space="preserve"> of the trajectory. </w:t>
      </w:r>
      <w:r>
        <w:rPr>
          <w:lang w:val="en-GB"/>
          <w14:ligatures w14:val="none"/>
        </w:rPr>
        <w:t xml:space="preserve">The aim was to ensure a change-centered scheme for annotating how radiological findings evolve across a patient’s sequential imaging studies across different modalities, with no preference for either modality.</w:t>
      </w:r>
      <w:r>
        <w:rPr>
          <w:lang w:val="en-GB"/>
        </w:rPr>
        <w:t xml:space="preserve"> Rather than paraphrasing every key finding at the corresponding </w:t>
      </w:r>
      <w:r>
        <w:rPr>
          <w:lang w:val="en-GB"/>
          <w14:ligatures w14:val="none"/>
        </w:rPr>
        <w:t xml:space="preserve">time points, the established annotation scheme aims to assess what changed between examination T1 and examination T2, providing details only when changes are necessary to understand the overall trajectory.</w:t>
      </w:r>
      <w:r>
        <w:rPr>
          <w:lang w:val="en-GB"/>
        </w:rPr>
        <w:t xml:space="preserve"> It draws on different strands of annotations: sentence-level progression annotation with </w:t>
      </w:r>
      <w:r>
        <w:rPr>
          <w:lang w:val="en-GB"/>
          <w14:ligatures w14:val="none"/>
        </w:rPr>
        <w:t xml:space="preserve">temporal com</w:t>
      </w:r>
      <w:r>
        <w:rPr>
          <w:lang w:val="en-GB"/>
          <w14:ligatures w14:val="none"/>
        </w:rPr>
        <w:t xml:space="preserve">parison between the two examinations; event-based finding annotation that focuses on and represents findings with corresponding attributes, if necessary, to understand the overall development; and disease- or organ-specific trajectory categories summarized</w:t>
      </w:r>
      <w:r>
        <w:rPr>
          <w:lang w:val="en-GB"/>
        </w:rPr>
        <w:t xml:space="preserve"> in the overall summary of the given trajectory. </w:t>
      </w:r>
      <w:r>
        <w:rPr>
          <w:lang w:val="en-GB"/>
        </w:rPr>
      </w:r>
    </w:p>
    <w:p w14:paraId="29DE49BF" w14:textId="2D0F9075">
      <w:pPr>
        <w:pBdr/>
        <w:spacing/>
        <w:ind/>
        <w:rPr>
          <w:lang w:val="en-GB"/>
        </w:rPr>
      </w:pPr>
      <w:r>
        <w:rPr>
          <w:lang w:val="en-GB"/>
        </w:rPr>
        <w:t xml:space="preserve">The key attributes of the annotation w</w:t>
      </w:r>
      <w:r>
        <w:rPr>
          <w:lang w:val="en-GB"/>
        </w:rPr>
        <w:t xml:space="preserve">ere</w:t>
      </w:r>
      <w:r>
        <w:rPr>
          <w:lang w:val="en-GB"/>
        </w:rPr>
        <w:t xml:space="preserve"> based on approaches from other studies that also </w:t>
      </w:r>
      <w:r>
        <w:rPr>
          <w:lang w:val="en-GB"/>
        </w:rPr>
        <w:t xml:space="preserve">used</w:t>
      </w:r>
      <w:r>
        <w:rPr>
          <w:lang w:val="en-GB"/>
        </w:rPr>
        <w:t xml:space="preserve"> LLMs </w:t>
      </w:r>
      <w:r>
        <w:rPr>
          <w:lang w:val="en-GB"/>
        </w:rPr>
        <w:t xml:space="preserve">to</w:t>
      </w:r>
      <w:r>
        <w:rPr>
          <w:lang w:val="en-GB"/>
        </w:rPr>
        <w:t xml:space="preserve"> </w:t>
      </w:r>
      <w:r>
        <w:rPr>
          <w:lang w:val="en-GB"/>
        </w:rPr>
        <w:t xml:space="preserve">assess</w:t>
      </w:r>
      <w:r>
        <w:rPr>
          <w:lang w:val="en-GB"/>
        </w:rPr>
        <w:t xml:space="preserve"> radiology reports </w:t>
      </w:r>
      <w:r>
        <w:rPr>
          <w:lang w:val="en-GB"/>
        </w:rPr>
        <w:fldChar w:fldCharType="begin"/>
      </w:r>
      <w:r>
        <w:rPr>
          <w:lang w:val="en-GB"/>
        </w:rPr>
        <w:instrText xml:space="preserve"> ADDIN EN.CITE &lt;EndNote&gt;&lt;Cite&gt;&lt;Author&gt;Wang&lt;/Author&gt;&lt;Year&gt;2</w:instrText>
      </w:r>
      <w:r>
        <w:rPr>
          <w:lang w:val="en-GB"/>
        </w:rPr>
        <w:instrText xml:space="preserve">026&lt;/Year&gt;&lt;RecNum&gt;201&lt;/RecNum&gt;&lt;DisplayText&gt;(1)&lt;/DisplayText&gt;&lt;record&gt;&lt;rec-number&gt;201&lt;/rec-number&gt;&lt;foreign-keys&gt;&lt;key app="EN" db-id="xvsf9fspczv20heepew52r5gtsxax9592tvw" timestamp="1787054844"&gt;201&lt;/key&gt;&lt;/foreign-keys&gt;&lt;ref-type name="Journal Article"&gt;17&lt;/ref</w:instrText>
      </w:r>
      <w:r>
        <w:rPr>
          <w:lang w:val="en-GB"/>
        </w:rPr>
        <w:instrText xml:space="preserve">-type&gt;&lt;contributors&gt;&lt;authors&gt;&lt;author&gt;Wang, Xinyi&lt;/author&gt;&lt;author&gt;Figueredo, Grazziela&lt;/author&gt;&lt;author&gt;Li, Ruizhe&lt;/author&gt;&lt;author&gt;Chen, Xin&lt;/author&gt;&lt;/authors&gt;&lt;/contributors&gt;&lt;titles&gt;&lt;title&gt;Standardizing Longitudinal Radiology Report Evaluation via Large Lang</w:instrText>
      </w:r>
      <w:r>
        <w:rPr>
          <w:lang w:val="en-GB"/>
        </w:rPr>
        <w:instrText xml:space="preserve">uage Model Annotation&lt;/title&gt;&lt;secondary-title&gt;arXiv preprint arXiv:2601.16753&lt;/secondary-title&gt;&lt;/titles&gt;&lt;periodical&gt;&lt;full-title&gt;arXiv preprint arXiv:2601.16753&lt;/full-title&gt;&lt;/periodical&gt;&lt;dates&gt;&lt;year&gt;2026&lt;/year&gt;&lt;/dates&gt;&lt;urls&gt;&lt;/urls&gt;&lt;/record&gt;&lt;/Cite&gt;&lt;/EndNote&gt;</w:instrText>
      </w:r>
      <w:r>
        <w:rPr>
          <w:lang w:val="en-GB"/>
        </w:rPr>
        <w:fldChar w:fldCharType="separate"/>
      </w:r>
      <w:r>
        <w:rPr>
          <w:lang w:val="en-GB"/>
        </w:rPr>
        <w:t xml:space="preserve">(1)</w:t>
      </w:r>
      <w:r>
        <w:rPr>
          <w:lang w:val="en-GB"/>
        </w:rPr>
        <w:fldChar w:fldCharType="end"/>
      </w:r>
      <w:r>
        <w:rPr>
          <w:lang w:val="en-GB"/>
        </w:rPr>
        <w:t xml:space="preserve">.</w:t>
      </w:r>
      <w:r>
        <w:rPr>
          <w:lang w:val="en-GB"/>
        </w:rPr>
        <w:t xml:space="preserve"> The wording for </w:t>
      </w:r>
      <w:r>
        <w:rPr>
          <w:lang w:val="en-GB"/>
        </w:rPr>
        <w:t xml:space="preserve">the labels of </w:t>
      </w:r>
      <w:r>
        <w:rPr>
          <w:lang w:val="en-GB"/>
        </w:rPr>
        <w:t xml:space="preserve">different attributes </w:t>
      </w:r>
      <w:r>
        <w:rPr>
          <w:lang w:val="en-GB"/>
          <w14:ligatures w14:val="none"/>
        </w:rPr>
        <w:t xml:space="preserve">and corresponding changes in findings is based on the guidelines provided by LI-RADS® </w:t>
      </w:r>
      <w:r>
        <w:rPr>
          <w:lang w:val="en-GB"/>
          <w14:ligatures w14:val="none"/>
        </w:rPr>
        <w:fldChar w:fldCharType="begin">
          <w:fldData xml:space="preserve">PEVuZE5vdGU+PENpdGU+PEF1dGhvcj5BbWVyaWNhbiBDb2xsZWdlIG9mIFJhZGlvbG9neSBDb21t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</w:fldData>
        </w:fldChar>
      </w:r>
      <w:r>
        <w:rPr>
          <w:lang w:val="en-GB"/>
          <w14:ligatures w14:val="none"/>
        </w:rPr>
        <w:instrText xml:space="preserve"> ADDIN EN.CITE </w:instrText>
      </w:r>
      <w:r>
        <w:rPr>
          <w:lang w:val="en-GB"/>
          <w14:ligatures w14:val="none"/>
        </w:rPr>
        <w:fldChar w:fldCharType="begin">
          <w:fldData xml:space="preserve">PEVuZE5vdGU+PENpdGU+PEF1dGhvcj5BbWVyaWNhbiBDb2xsZWdlIG9mIFJhZGlvbG9neSBDb21t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</w:fldData>
        </w:fldChar>
      </w:r>
      <w:r>
        <w:rPr>
          <w:lang w:val="en-GB"/>
          <w14:ligatures w14:val="none"/>
        </w:rPr>
        <w:instrText xml:space="preserve"> ADDIN EN.CITE.DATA </w:instrText>
      </w:r>
      <w:r>
        <w:rPr>
          <w:lang w:val="en-GB"/>
          <w14:ligatures w14:val="none"/>
        </w:rPr>
        <w:fldChar w:fldCharType="end"/>
      </w:r>
      <w:r>
        <w:rPr>
          <w:lang w:val="en-GB"/>
          <w14:ligatures w14:val="none"/>
        </w:rPr>
        <w:fldChar w:fldCharType="separate"/>
      </w:r>
      <w:r>
        <w:rPr>
          <w:lang w:val="en-GB"/>
          <w14:ligatures w14:val="none"/>
        </w:rPr>
        <w:t xml:space="preserve">(2-4)</w:t>
      </w:r>
      <w:r>
        <w:rPr>
          <w:lang w:val="en-GB"/>
          <w14:ligatures w14:val="none"/>
        </w:rPr>
        <w:fldChar w:fldCharType="end"/>
      </w:r>
      <w:r>
        <w:rPr>
          <w:lang w:val="en-GB"/>
          <w14:ligatures w14:val="none"/>
        </w:rPr>
        <w:t xml:space="preserve">.</w:t>
      </w:r>
      <w:r>
        <w:rPr>
          <w:lang w:val="en-GB"/>
        </w:rPr>
      </w:r>
    </w:p>
    <w:p w14:paraId="57AEC42E" w14:textId="34548721">
      <w:pPr>
        <w:pBdr/>
        <w:spacing/>
        <w:ind/>
        <w:rPr>
          <w:highlight w:val="none"/>
          <w:lang w:val="en-GB"/>
        </w:rPr>
      </w:pPr>
      <w:r>
        <w:rPr>
          <w:lang w:val="en-GB"/>
        </w:rPr>
        <w:t xml:space="preserve">To objectively </w:t>
      </w:r>
      <w:r>
        <w:rPr>
          <w:lang w:val="en-GB"/>
          <w14:ligatures w14:val="none"/>
        </w:rPr>
        <w:t xml:space="preserve">systematize the annotation process, we established 3 annotation levels, corresponding to 3 fields used in RadTag: an Interval Note, a Finding-Specific Note,</w:t>
      </w:r>
      <w:r>
        <w:rPr>
          <w:lang w:val="en-GB"/>
        </w:rPr>
        <w:t xml:space="preserve"> and a Global Note.</w:t>
      </w:r>
      <w:r>
        <w:rPr>
          <w:lang w:val="en-GB"/>
        </w:rPr>
      </w:r>
      <w:r>
        <w:rPr>
          <w:highlight w:val="none"/>
          <w:lang w:val="en-GB" w:bidi="en-GB"/>
        </w:rPr>
      </w:r>
      <w:r>
        <w:rPr>
          <w:highlight w:val="none"/>
          <w:lang w:val="en-GB" w:bidi="en-GB"/>
        </w:rPr>
      </w:r>
      <w:r>
        <w:rPr>
          <w:highlight w:val="none"/>
          <w:lang w:val="en-GB"/>
        </w:rPr>
      </w:r>
      <w:r>
        <w:rPr>
          <w:highlight w:val="none"/>
          <w:lang w:val="en-GB"/>
        </w:rPr>
      </w:r>
    </w:p>
    <w:p w14:paraId="71AD75A0" w14:textId="43C6B55C">
      <w:pPr>
        <w:pBdr/>
        <w:spacing/>
        <w:ind/>
        <w:rPr>
          <w:lang w:val="en-GB"/>
        </w:rPr>
      </w:pPr>
      <w:r>
        <w:rPr>
          <w:b/>
          <w:bCs/>
          <w:lang w:val="en-GB"/>
        </w:rPr>
        <w:t xml:space="preserve">The Interval Note </w:t>
      </w:r>
      <w:r>
        <w:rPr>
          <w:lang w:val="en-GB"/>
        </w:rPr>
        <w:t xml:space="preserve">captures the essential changes between two examinations. It assigns the comparability label - whether the findings are comparable, only partially comparable, not comparable at all</w:t>
      </w:r>
      <w:r>
        <w:rPr>
          <w:lang w:val="en-GB"/>
        </w:rPr>
        <w:t xml:space="preserve">,</w:t>
      </w:r>
      <w:r>
        <w:rPr>
          <w:lang w:val="en-GB"/>
        </w:rPr>
        <w:t xml:space="preserve"> or not assessable – and the overall interval label, describing the general character of the change: no significant change, regression, progression, mixed change, indeterminate</w:t>
      </w:r>
      <w:r>
        <w:rPr>
          <w:lang w:val="en-GB"/>
        </w:rPr>
        <w:t xml:space="preserve">,</w:t>
      </w:r>
      <w:r>
        <w:rPr>
          <w:lang w:val="en-GB"/>
        </w:rPr>
        <w:t xml:space="preserve"> or not assessable. </w:t>
      </w:r>
      <w:r>
        <w:rPr>
          <w:lang w:val="en-GB"/>
        </w:rPr>
        <w:t xml:space="preserve">Additionally,</w:t>
      </w:r>
      <w:r>
        <w:rPr>
          <w:lang w:val="en-GB"/>
        </w:rPr>
        <w:t xml:space="preserve"> standardized change flags can be added</w:t>
      </w:r>
      <w:r>
        <w:rPr>
          <w:lang w:val="en-GB"/>
        </w:rPr>
        <w:t xml:space="preserve"> and a short free-text sentence outlining the essential change in plain language. </w:t>
      </w:r>
      <w:r>
        <w:rPr>
          <w:lang w:val="en-GB"/>
          <w14:ligatures w14:val="none"/>
        </w:rPr>
        <w:t xml:space="preserve">Because there may be significant time gaps between comparable findings, the surveillance gap flag can also be noted here to support a more differentiated approach to assessing comparability.</w:t>
      </w:r>
      <w:r>
        <w:rPr>
          <w:lang w:val="en-GB"/>
        </w:rPr>
        <w:t xml:space="preserve"> </w:t>
      </w:r>
      <w:r>
        <w:rPr>
          <w:lang w:val="en-GB"/>
          <w14:ligatures w14:val="none"/>
        </w:rPr>
        <w:t xml:space="preserve">If there is a significant time gap between findings, a note on the length of the gap should be included.</w:t>
      </w:r>
      <w:r>
        <w:rPr>
          <w:lang w:val="en-GB"/>
        </w:rPr>
        <w:t xml:space="preserve"> </w:t>
      </w:r>
      <w:r>
        <w:rPr>
          <w:lang w:val="en-GB"/>
        </w:rPr>
      </w:r>
    </w:p>
    <w:p w14:paraId="4DFB16E7" w14:textId="49132006">
      <w:pPr>
        <w:pBdr/>
        <w:spacing/>
        <w:ind/>
        <w:rPr>
          <w:lang w:val="en-GB"/>
        </w:rPr>
      </w:pPr>
      <w:r>
        <w:rPr>
          <w:lang w:val="en-GB"/>
        </w:rPr>
        <w:t xml:space="preserve">This annotation includes 4 attributes with key information regarding the change:</w:t>
      </w:r>
      <w:r>
        <w:rPr>
          <w:lang w:val="en-GB"/>
        </w:rPr>
      </w:r>
    </w:p>
    <w:p w14:paraId="36CD4E43" w14:textId="372D00A8">
      <w:pPr>
        <w:pStyle w:val="707"/>
        <w:numPr>
          <w:ilvl w:val="0"/>
          <w:numId w:val="2"/>
        </w:numPr>
        <w:pBdr/>
        <w:spacing/>
        <w:ind/>
        <w:rPr>
          <w:b/>
          <w:bCs/>
          <w:lang w:val="en-GB"/>
        </w:rPr>
      </w:pPr>
      <w:r>
        <w:rPr>
          <w:b/>
          <w:bCs/>
          <w:lang w:val="en-GB"/>
        </w:rPr>
        <w:t xml:space="preserve">Vergleichbarkeit (Comparability)</w:t>
      </w:r>
      <w:r>
        <w:rPr>
          <w:b/>
          <w:bCs/>
          <w:lang w:val="en-GB"/>
        </w:rPr>
      </w:r>
    </w:p>
    <w:tbl>
      <w:tblPr>
        <w:tblStyle w:val="712"/>
        <w:tblW w:w="0" w:type="auto"/>
        <w:tblBorders/>
        <w:tblLook w:val="04A0" w:firstRow="1" w:lastRow="0" w:firstColumn="1" w:lastColumn="0" w:noHBand="0" w:noVBand="1"/>
      </w:tblPr>
      <w:tblGrid>
        <w:gridCol w:w="3681"/>
        <w:gridCol w:w="5381"/>
      </w:tblGrid>
      <w:tr>
        <w:trPr/>
        <w:tc>
          <w:tcPr>
            <w:tcBorders/>
            <w:tcW w:w="3681" w:type="dxa"/>
          </w:tcPr>
          <w:p w14:paraId="11AD46B8" w14:textId="7ECA9B3C">
            <w:pPr>
              <w:pBdr/>
              <w:spacing/>
              <w:ind/>
              <w:rPr>
                <w:b/>
                <w:bCs/>
                <w:lang w:val="en-GB"/>
              </w:rPr>
            </w:pPr>
            <w:r>
              <w:rPr>
                <w:b/>
                <w:bCs/>
                <w:lang w:val="en-GB"/>
              </w:rPr>
              <w:t xml:space="preserve">German Term (entered in RadTag)</w:t>
            </w:r>
            <w:r>
              <w:rPr>
                <w:b/>
                <w:bCs/>
                <w:lang w:val="en-GB"/>
              </w:rPr>
            </w:r>
          </w:p>
        </w:tc>
        <w:tc>
          <w:tcPr>
            <w:tcBorders/>
            <w:tcW w:w="5381" w:type="dxa"/>
          </w:tcPr>
          <w:p w14:paraId="3F7EBFC9" w14:textId="064B0124">
            <w:pPr>
              <w:pBdr/>
              <w:spacing/>
              <w:ind/>
              <w:rPr>
                <w:b/>
                <w:bCs/>
                <w:lang w:val="en-GB"/>
              </w:rPr>
            </w:pPr>
            <w:r>
              <w:rPr>
                <w:b/>
                <w:bCs/>
                <w:lang w:val="en-GB"/>
              </w:rPr>
              <w:t xml:space="preserve">English Explanation</w:t>
            </w:r>
            <w:r>
              <w:rPr>
                <w:b/>
                <w:bCs/>
                <w:lang w:val="en-GB"/>
              </w:rPr>
            </w:r>
          </w:p>
        </w:tc>
      </w:tr>
      <w:tr>
        <w:trPr/>
        <w:tc>
          <w:tcPr>
            <w:tcBorders/>
            <w:tcW w:w="3681" w:type="dxa"/>
          </w:tcPr>
          <w:p w14:paraId="58EF199B" w14:textId="24A51AB5">
            <w:pPr>
              <w:pBdr/>
              <w:spacing/>
              <w:ind/>
              <w:rPr>
                <w:lang w:val="en-GB"/>
              </w:rPr>
            </w:pPr>
            <w:r>
              <w:rPr>
                <w:lang w:val="en-GB"/>
              </w:rPr>
              <w:t xml:space="preserve">Vergleichbar</w:t>
            </w:r>
            <w:r>
              <w:rPr>
                <w:lang w:val="en-GB"/>
              </w:rPr>
            </w:r>
          </w:p>
        </w:tc>
        <w:tc>
          <w:tcPr>
            <w:tcBorders/>
            <w:tcW w:w="5381" w:type="dxa"/>
          </w:tcPr>
          <w:p w14:paraId="67B62759" w14:textId="1429ADCF">
            <w:pPr>
              <w:pBdr/>
              <w:spacing/>
              <w:ind/>
              <w:rPr>
                <w:lang w:val="en-GB"/>
              </w:rPr>
            </w:pPr>
            <w:r>
              <w:rPr>
                <w:lang w:val="en-GB"/>
              </w:rPr>
              <w:t xml:space="preserve">Comparable – the prior and current study are sufficiently comparable.</w:t>
            </w:r>
            <w:r>
              <w:rPr>
                <w:lang w:val="en-GB"/>
              </w:rPr>
            </w:r>
          </w:p>
        </w:tc>
      </w:tr>
      <w:tr>
        <w:trPr/>
        <w:tc>
          <w:tcPr>
            <w:tcBorders/>
            <w:tcW w:w="3681" w:type="dxa"/>
          </w:tcPr>
          <w:p w14:paraId="5AFBFC55" w14:textId="036C86FC">
            <w:pPr>
              <w:pBdr/>
              <w:spacing/>
              <w:ind/>
              <w:rPr>
                <w:lang w:val="en-GB"/>
              </w:rPr>
            </w:pPr>
            <w:r>
              <w:rPr>
                <w:lang w:val="en-GB"/>
              </w:rPr>
              <w:t xml:space="preserve">Eingeschränkt vergleichbar</w:t>
            </w:r>
            <w:r>
              <w:rPr>
                <w:lang w:val="en-GB"/>
              </w:rPr>
            </w:r>
          </w:p>
        </w:tc>
        <w:tc>
          <w:tcPr>
            <w:tcBorders/>
            <w:tcW w:w="5381" w:type="dxa"/>
          </w:tcPr>
          <w:p w14:paraId="100C347B" w14:textId="600A2DA0">
            <w:pPr>
              <w:pBdr/>
              <w:spacing/>
              <w:ind/>
              <w:rPr>
                <w:lang w:val="en-GB"/>
              </w:rPr>
            </w:pPr>
            <w:r>
              <w:rPr>
                <w:lang w:val="en-GB"/>
              </w:rPr>
              <w:t xml:space="preserve">Limited comparability – comparison is possible yet limited by modality, protocol, contrast agent, time interval or the overall findings.</w:t>
            </w:r>
            <w:r>
              <w:rPr>
                <w:lang w:val="en-GB"/>
              </w:rPr>
            </w:r>
          </w:p>
        </w:tc>
      </w:tr>
      <w:tr>
        <w:trPr/>
        <w:tc>
          <w:tcPr>
            <w:tcBorders/>
            <w:tcW w:w="3681" w:type="dxa"/>
          </w:tcPr>
          <w:p w14:paraId="7B75AF6D" w14:textId="77199B10">
            <w:pPr>
              <w:pBdr/>
              <w:spacing/>
              <w:ind/>
              <w:rPr>
                <w:lang w:val="en-GB"/>
              </w:rPr>
            </w:pPr>
            <w:r>
              <w:rPr>
                <w:lang w:val="en-GB"/>
              </w:rPr>
              <w:t xml:space="preserve">Nicht vergleichbar</w:t>
            </w:r>
            <w:r>
              <w:rPr>
                <w:lang w:val="en-GB"/>
              </w:rPr>
            </w:r>
          </w:p>
        </w:tc>
        <w:tc>
          <w:tcPr>
            <w:tcBorders/>
            <w:tcW w:w="5381" w:type="dxa"/>
          </w:tcPr>
          <w:p w14:paraId="6CD7E93F" w14:textId="432758F0">
            <w:pPr>
              <w:pBdr/>
              <w:spacing/>
              <w:ind/>
              <w:rPr>
                <w:lang w:val="en-GB"/>
              </w:rPr>
            </w:pPr>
            <w:r>
              <w:rPr>
                <w:lang w:val="en-GB"/>
              </w:rPr>
              <w:t xml:space="preserve">Not comparable – a reliable assessment of change is not possible.</w:t>
            </w:r>
            <w:r>
              <w:rPr>
                <w:lang w:val="en-US"/>
              </w:rPr>
              <w:t xml:space="preserve"> Alternatively, no prior study exists.</w:t>
            </w:r>
            <w:r>
              <w:rPr>
                <w:lang w:val="en-GB"/>
              </w:rPr>
            </w:r>
          </w:p>
        </w:tc>
      </w:tr>
      <w:tr>
        <w:trPr/>
        <w:tc>
          <w:tcPr>
            <w:tcBorders/>
            <w:tcW w:w="3681" w:type="dxa"/>
          </w:tcPr>
          <w:p w14:paraId="79D60A1E" w14:textId="7863F609">
            <w:pPr>
              <w:pBdr/>
              <w:spacing/>
              <w:ind/>
              <w:rPr>
                <w:lang w:val="en-GB"/>
              </w:rPr>
            </w:pPr>
            <w:r>
              <w:rPr>
                <w:lang w:val="en-GB"/>
              </w:rPr>
              <w:t xml:space="preserve">Nicht beurteilbar</w:t>
            </w:r>
            <w:r>
              <w:rPr>
                <w:lang w:val="en-GB"/>
              </w:rPr>
            </w:r>
          </w:p>
        </w:tc>
        <w:tc>
          <w:tcPr>
            <w:tcBorders/>
            <w:tcW w:w="5381" w:type="dxa"/>
          </w:tcPr>
          <w:p w14:paraId="234F1A96" w14:textId="46A8573B">
            <w:pPr>
              <w:pBdr/>
              <w:spacing/>
              <w:ind/>
              <w:rPr>
                <w:lang w:val="en-GB"/>
              </w:rPr>
            </w:pPr>
            <w:r>
              <w:rPr>
                <w:lang w:val="en-GB"/>
              </w:rPr>
              <w:t xml:space="preserve">Not assessable – the relevant region or finding cannot be evaluated.</w:t>
            </w:r>
            <w:r>
              <w:rPr>
                <w:lang w:val="en-GB"/>
              </w:rPr>
            </w:r>
          </w:p>
        </w:tc>
      </w:tr>
    </w:tbl>
    <w:p w14:paraId="23D1D212" w14:textId="35C8D534">
      <w:pPr>
        <w:pBdr/>
        <w:spacing/>
        <w:ind/>
        <w:rPr>
          <w:lang w:val="en-GB"/>
        </w:rPr>
      </w:pPr>
      <w:r>
        <w:rPr>
          <w:lang w:val="en-GB"/>
        </w:rPr>
        <w:t xml:space="preserve">This attribute refers to the technical and/or protocol-related comparability.</w:t>
      </w:r>
      <w:r>
        <w:rPr>
          <w:lang w:val="en-GB"/>
        </w:rPr>
      </w:r>
    </w:p>
    <w:p w14:paraId="3395C0F8" w14:textId="2E3011DF">
      <w:pPr>
        <w:pStyle w:val="707"/>
        <w:numPr>
          <w:ilvl w:val="0"/>
          <w:numId w:val="2"/>
        </w:numPr>
        <w:pBdr/>
        <w:spacing/>
        <w:ind/>
        <w:rPr>
          <w:b/>
          <w:bCs/>
          <w:lang w:val="en-GB"/>
        </w:rPr>
      </w:pPr>
      <w:r>
        <w:rPr>
          <w:b/>
          <w:bCs/>
          <w:lang w:val="en-GB"/>
        </w:rPr>
        <w:t xml:space="preserve">Hauptverlaufslabel (Overall interval label)</w:t>
      </w:r>
      <w:r>
        <w:rPr>
          <w:b/>
          <w:bCs/>
          <w:lang w:val="en-GB"/>
        </w:rPr>
      </w:r>
    </w:p>
    <w:tbl>
      <w:tblPr>
        <w:tblStyle w:val="712"/>
        <w:tblW w:w="0" w:type="auto"/>
        <w:tblBorders/>
        <w:tblLook w:val="04A0" w:firstRow="1" w:lastRow="0" w:firstColumn="1" w:lastColumn="0" w:noHBand="0" w:noVBand="1"/>
      </w:tblPr>
      <w:tblGrid>
        <w:gridCol w:w="3681"/>
        <w:gridCol w:w="5381"/>
      </w:tblGrid>
      <w:tr>
        <w:trPr/>
        <w:tc>
          <w:tcPr>
            <w:tcBorders/>
            <w:tcW w:w="3681" w:type="dxa"/>
          </w:tcPr>
          <w:p w14:paraId="093191DA" w14:textId="77777777">
            <w:pPr>
              <w:pBdr/>
              <w:spacing/>
              <w:ind/>
              <w:rPr>
                <w:b/>
                <w:bCs/>
                <w:lang w:val="en-GB"/>
              </w:rPr>
            </w:pPr>
            <w:r>
              <w:rPr>
                <w:b/>
                <w:bCs/>
                <w:lang w:val="en-GB"/>
              </w:rPr>
              <w:t xml:space="preserve">German Term (entered in RadTag)</w:t>
            </w:r>
            <w:r>
              <w:rPr>
                <w:b/>
                <w:bCs/>
                <w:lang w:val="en-GB"/>
              </w:rPr>
            </w:r>
          </w:p>
        </w:tc>
        <w:tc>
          <w:tcPr>
            <w:tcBorders/>
            <w:tcW w:w="5381" w:type="dxa"/>
          </w:tcPr>
          <w:p w14:paraId="4DB50095" w14:textId="77777777">
            <w:pPr>
              <w:pBdr/>
              <w:spacing/>
              <w:ind/>
              <w:rPr>
                <w:b/>
                <w:bCs/>
                <w:lang w:val="en-GB"/>
              </w:rPr>
            </w:pPr>
            <w:r>
              <w:rPr>
                <w:b/>
                <w:bCs/>
                <w:lang w:val="en-GB"/>
              </w:rPr>
              <w:t xml:space="preserve">English Explanation</w:t>
            </w:r>
            <w:r>
              <w:rPr>
                <w:b/>
                <w:bCs/>
                <w:lang w:val="en-GB"/>
              </w:rPr>
            </w:r>
          </w:p>
        </w:tc>
      </w:tr>
      <w:tr>
        <w:trPr/>
        <w:tc>
          <w:tcPr>
            <w:tcBorders/>
            <w:tcW w:w="3681" w:type="dxa"/>
          </w:tcPr>
          <w:p w14:paraId="53377B1A" w14:textId="7F8D91A9">
            <w:pPr>
              <w:pBdr/>
              <w:spacing/>
              <w:ind/>
              <w:rPr>
                <w:lang w:val="en-GB"/>
              </w:rPr>
            </w:pPr>
            <w:r>
              <w:rPr>
                <w:lang w:val="en-GB"/>
              </w:rPr>
              <w:t xml:space="preserve">Keine wesentliche Intervallveränderung</w:t>
            </w:r>
            <w:r>
              <w:rPr>
                <w:lang w:val="en-GB"/>
              </w:rPr>
            </w:r>
          </w:p>
        </w:tc>
        <w:tc>
          <w:tcPr>
            <w:tcBorders/>
            <w:tcW w:w="5381" w:type="dxa"/>
          </w:tcPr>
          <w:p w14:paraId="127A77F4" w14:textId="356696E0">
            <w:pPr>
              <w:pBdr/>
              <w:spacing/>
              <w:ind/>
              <w:rPr>
                <w:lang w:val="en-GB"/>
              </w:rPr>
            </w:pPr>
            <w:r>
              <w:rPr>
                <w:lang w:val="en-GB"/>
              </w:rPr>
              <w:t xml:space="preserve">No significant interval change – none of the relevant finding considerably changed</w:t>
            </w:r>
            <w:r>
              <w:rPr>
                <w:lang w:val="en-GB"/>
              </w:rPr>
              <w:t xml:space="preserve">.</w:t>
            </w:r>
            <w:r>
              <w:rPr>
                <w:lang w:val="en-GB"/>
              </w:rPr>
            </w:r>
          </w:p>
        </w:tc>
      </w:tr>
      <w:tr>
        <w:trPr/>
        <w:tc>
          <w:tcPr>
            <w:tcBorders/>
            <w:tcW w:w="3681" w:type="dxa"/>
          </w:tcPr>
          <w:p w14:paraId="02536517" w14:textId="7EC68FAF">
            <w:pPr>
              <w:pBdr/>
              <w:spacing/>
              <w:ind/>
              <w:rPr>
                <w:lang w:val="en-GB"/>
              </w:rPr>
            </w:pPr>
            <w:r>
              <w:rPr>
                <w:lang w:val="en-GB"/>
              </w:rPr>
              <w:t xml:space="preserve">Rückläufig</w:t>
            </w:r>
            <w:r>
              <w:rPr>
                <w:lang w:val="en-GB"/>
              </w:rPr>
            </w:r>
          </w:p>
        </w:tc>
        <w:tc>
          <w:tcPr>
            <w:tcBorders/>
            <w:tcW w:w="5381" w:type="dxa"/>
          </w:tcPr>
          <w:p w14:paraId="5459D52F" w14:textId="236F3E1C">
            <w:pPr>
              <w:pBdr/>
              <w:spacing/>
              <w:ind/>
              <w:rPr>
                <w:lang w:val="en-GB"/>
              </w:rPr>
            </w:pPr>
            <w:r>
              <w:rPr>
                <w:lang w:val="en-GB"/>
              </w:rPr>
              <w:t xml:space="preserve">Regression – a relevant decrease in size, count, extent, density, or solid component.</w:t>
            </w:r>
            <w:r>
              <w:rPr>
                <w:lang w:val="en-GB"/>
              </w:rPr>
            </w:r>
          </w:p>
        </w:tc>
      </w:tr>
      <w:tr>
        <w:trPr/>
        <w:tc>
          <w:tcPr>
            <w:tcBorders/>
            <w:tcW w:w="3681" w:type="dxa"/>
          </w:tcPr>
          <w:p w14:paraId="5BD77885" w14:textId="7668FFC7">
            <w:pPr>
              <w:pBdr/>
              <w:spacing/>
              <w:ind/>
              <w:rPr>
                <w:lang w:val="en-GB"/>
              </w:rPr>
            </w:pPr>
            <w:r>
              <w:rPr>
                <w:lang w:val="en-GB"/>
              </w:rPr>
              <w:t xml:space="preserve">Progredient</w:t>
            </w:r>
            <w:r>
              <w:rPr>
                <w:lang w:val="en-GB"/>
              </w:rPr>
            </w:r>
          </w:p>
        </w:tc>
        <w:tc>
          <w:tcPr>
            <w:tcBorders/>
            <w:tcW w:w="5381" w:type="dxa"/>
          </w:tcPr>
          <w:p w14:paraId="74376998" w14:textId="42C0AF11">
            <w:pPr>
              <w:pBdr/>
              <w:spacing/>
              <w:ind/>
              <w:rPr>
                <w:lang w:val="en-GB"/>
              </w:rPr>
            </w:pPr>
            <w:r>
              <w:rPr>
                <w:lang w:val="en-GB"/>
              </w:rPr>
              <w:t xml:space="preserve">Progression – a relevant increase, a new relevant lesion, or spread of an existing finding.</w:t>
            </w:r>
            <w:r>
              <w:rPr>
                <w:lang w:val="en-GB"/>
              </w:rPr>
            </w:r>
          </w:p>
        </w:tc>
      </w:tr>
      <w:tr>
        <w:trPr/>
        <w:tc>
          <w:tcPr>
            <w:tcBorders/>
            <w:tcW w:w="3681" w:type="dxa"/>
          </w:tcPr>
          <w:p w14:paraId="43CCB281" w14:textId="1C5EA103">
            <w:pPr>
              <w:pBdr/>
              <w:spacing/>
              <w:ind/>
              <w:rPr>
                <w:lang w:val="en-GB"/>
              </w:rPr>
            </w:pPr>
            <w:r>
              <w:rPr>
                <w:lang w:val="en-GB"/>
              </w:rPr>
              <w:t xml:space="preserve">Gemischte Veränderung</w:t>
            </w:r>
            <w:r>
              <w:rPr>
                <w:lang w:val="en-GB"/>
              </w:rPr>
            </w:r>
          </w:p>
        </w:tc>
        <w:tc>
          <w:tcPr>
            <w:tcBorders/>
            <w:tcW w:w="5381" w:type="dxa"/>
          </w:tcPr>
          <w:p w14:paraId="1EE8D5EF" w14:textId="65C443B6">
            <w:pPr>
              <w:pBdr/>
              <w:spacing/>
              <w:ind/>
              <w:rPr>
                <w:lang w:val="en-GB"/>
              </w:rPr>
            </w:pPr>
            <w:r>
              <w:rPr>
                <w:lang w:val="en-GB"/>
              </w:rPr>
              <w:t xml:space="preserve">Mixed change – simultaneous regressive and progressive relevant finding in independent finding complexes</w:t>
            </w:r>
            <w:r>
              <w:rPr>
                <w:lang w:val="en-GB"/>
              </w:rPr>
              <w:t xml:space="preserve">.</w:t>
            </w:r>
            <w:r>
              <w:rPr>
                <w:lang w:val="en-GB"/>
              </w:rPr>
            </w:r>
          </w:p>
        </w:tc>
      </w:tr>
      <w:tr>
        <w:trPr/>
        <w:tc>
          <w:tcPr>
            <w:tcBorders/>
            <w:tcW w:w="3681" w:type="dxa"/>
          </w:tcPr>
          <w:p w14:paraId="44C2483F" w14:textId="213858FD">
            <w:pPr>
              <w:pBdr/>
              <w:spacing/>
              <w:ind/>
              <w:rPr>
                <w:lang w:val="en-GB"/>
              </w:rPr>
            </w:pPr>
            <w:r>
              <w:rPr>
                <w:lang w:val="en-GB"/>
              </w:rPr>
              <w:t xml:space="preserve">Indeterminiert</w:t>
            </w:r>
            <w:r>
              <w:rPr>
                <w:lang w:val="en-GB"/>
              </w:rPr>
            </w:r>
          </w:p>
        </w:tc>
        <w:tc>
          <w:tcPr>
            <w:tcBorders/>
            <w:tcW w:w="5381" w:type="dxa"/>
          </w:tcPr>
          <w:p w14:paraId="6C5A7F9C" w14:textId="2E9358D9">
            <w:pPr>
              <w:pBdr/>
              <w:spacing/>
              <w:ind/>
              <w:rPr>
                <w:lang w:val="en-GB"/>
              </w:rPr>
            </w:pPr>
            <w:r>
              <w:rPr>
                <w:lang w:val="en-GB"/>
              </w:rPr>
              <w:t xml:space="preserve">Indeterminate – a change is described or suspected but cannot be reliably classified</w:t>
            </w:r>
            <w:r>
              <w:rPr>
                <w:lang w:val="en-GB"/>
              </w:rPr>
              <w:t xml:space="preserve">.</w:t>
            </w:r>
            <w:r>
              <w:rPr>
                <w:lang w:val="en-GB"/>
              </w:rPr>
            </w:r>
          </w:p>
        </w:tc>
      </w:tr>
      <w:tr>
        <w:trPr/>
        <w:tc>
          <w:tcPr>
            <w:tcBorders/>
            <w:tcW w:w="3681" w:type="dxa"/>
          </w:tcPr>
          <w:p w14:paraId="4071A665" w14:textId="012F7368">
            <w:pPr>
              <w:pBdr/>
              <w:spacing/>
              <w:ind/>
              <w:rPr>
                <w:lang w:val="en-GB"/>
              </w:rPr>
            </w:pPr>
            <w:r>
              <w:rPr>
                <w:lang w:val="en-GB"/>
              </w:rPr>
              <w:t xml:space="preserve">Nicht beurteilbar</w:t>
            </w:r>
            <w:r>
              <w:rPr>
                <w:lang w:val="en-GB"/>
              </w:rPr>
            </w:r>
          </w:p>
        </w:tc>
        <w:tc>
          <w:tcPr>
            <w:tcBorders/>
            <w:tcW w:w="5381" w:type="dxa"/>
          </w:tcPr>
          <w:p w14:paraId="630952D8" w14:textId="4A86C07D">
            <w:pPr>
              <w:pBdr/>
              <w:spacing/>
              <w:ind/>
              <w:rPr>
                <w:lang w:val="en-GB"/>
              </w:rPr>
            </w:pPr>
            <w:r>
              <w:rPr>
                <w:lang w:val="en-GB"/>
              </w:rPr>
              <w:t xml:space="preserve">Not assessable – the interval cannot be assessed due to technical or content-related limitations.</w:t>
            </w:r>
            <w:r>
              <w:rPr>
                <w:lang w:val="en-GB"/>
              </w:rPr>
            </w:r>
          </w:p>
        </w:tc>
      </w:tr>
    </w:tbl>
    <w:p w14:paraId="77D835F3" w14:textId="77777777">
      <w:pPr>
        <w:pBdr/>
        <w:spacing/>
        <w:ind/>
        <w:rPr>
          <w:lang w:val="en-GB"/>
        </w:rPr>
      </w:pPr>
      <w:r>
        <w:rPr>
          <w:lang w:val="en-GB"/>
        </w:rPr>
      </w:r>
      <w:r>
        <w:rPr>
          <w:lang w:val="en-GB"/>
        </w:rPr>
      </w:r>
    </w:p>
    <w:p w14:paraId="2BAE763D" w14:textId="2E546CA1">
      <w:pPr>
        <w:pStyle w:val="707"/>
        <w:numPr>
          <w:ilvl w:val="0"/>
          <w:numId w:val="2"/>
        </w:numPr>
        <w:pBdr/>
        <w:spacing/>
        <w:ind/>
        <w:rPr>
          <w:b/>
          <w:bCs/>
          <w:lang w:val="en-GB"/>
        </w:rPr>
      </w:pPr>
      <w:r>
        <w:rPr>
          <w:b/>
          <w:bCs/>
          <w:lang w:val="en-GB"/>
        </w:rPr>
        <w:t xml:space="preserve">Veränderungslabel (Change Labels)</w:t>
      </w:r>
      <w:r>
        <w:rPr>
          <w:b/>
          <w:bCs/>
          <w:lang w:val="en-GB"/>
        </w:rPr>
      </w:r>
    </w:p>
    <w:p w14:paraId="28E4B6D3">
      <w:pPr>
        <w:pBdr/>
        <w:spacing/>
        <w:ind/>
        <w:rPr>
          <w:lang w:val="en-GB"/>
        </w:rPr>
      </w:pPr>
      <w:r>
        <w:rPr>
          <w:b w:val="0"/>
          <w:bCs w:val="0"/>
          <w:highlight w:val="none"/>
          <w:lang w:val="en-US"/>
        </w:rPr>
        <w:t xml:space="preserve">At least one change label is assigned.</w:t>
      </w:r>
      <w:r>
        <w:rPr>
          <w:b w:val="0"/>
          <w:bCs w:val="0"/>
          <w:highlight w:val="none"/>
          <w:lang w:val="en-US"/>
        </w:rPr>
        <w:t xml:space="preserve"> In case no relevant changes have been identified, the label “</w:t>
      </w:r>
      <w:r>
        <w:rPr>
          <w:b w:val="0"/>
          <w:bCs w:val="0"/>
        </w:rPr>
      </w:r>
      <w:r>
        <w:rPr>
          <w:lang w:val="en-GB"/>
        </w:rPr>
        <w:t xml:space="preserve">Keine Befundsänderung</w:t>
      </w:r>
      <w:r>
        <w:rPr>
          <w:b w:val="0"/>
          <w:bCs w:val="0"/>
          <w:highlight w:val="none"/>
          <w:lang w:val="en-US"/>
        </w:rPr>
        <w:t xml:space="preserve">” is used.</w:t>
      </w:r>
      <w:r/>
      <w:r>
        <w:rPr>
          <w:lang w:val="en-GB"/>
        </w:rPr>
      </w:r>
    </w:p>
    <w:tbl>
      <w:tblPr>
        <w:tblStyle w:val="712"/>
        <w:tblW w:w="0" w:type="auto"/>
        <w:tblBorders/>
        <w:tblLook w:val="04A0" w:firstRow="1" w:lastRow="0" w:firstColumn="1" w:lastColumn="0" w:noHBand="0" w:noVBand="1"/>
      </w:tblPr>
      <w:tblGrid>
        <w:gridCol w:w="3681"/>
        <w:gridCol w:w="5381"/>
      </w:tblGrid>
      <w:tr>
        <w:trPr/>
        <w:tc>
          <w:tcPr>
            <w:tcBorders/>
            <w:tcW w:w="3681" w:type="dxa"/>
          </w:tcPr>
          <w:p w14:paraId="028FD7D3" w14:textId="77777777">
            <w:pPr>
              <w:pBdr/>
              <w:spacing/>
              <w:ind/>
              <w:rPr>
                <w:b/>
                <w:bCs/>
                <w:lang w:val="en-GB"/>
              </w:rPr>
            </w:pPr>
            <w:r>
              <w:rPr>
                <w:b/>
                <w:bCs/>
                <w:lang w:val="en-GB"/>
              </w:rPr>
              <w:t xml:space="preserve">German Term (entered in RadTag)</w:t>
            </w:r>
            <w:r>
              <w:rPr>
                <w:b/>
                <w:bCs/>
                <w:lang w:val="en-GB"/>
              </w:rPr>
            </w:r>
          </w:p>
        </w:tc>
        <w:tc>
          <w:tcPr>
            <w:tcBorders/>
            <w:tcW w:w="5381" w:type="dxa"/>
          </w:tcPr>
          <w:p w14:paraId="63577D76" w14:textId="77777777">
            <w:pPr>
              <w:pBdr/>
              <w:spacing/>
              <w:ind/>
              <w:rPr>
                <w:b/>
                <w:bCs/>
                <w:lang w:val="en-GB"/>
              </w:rPr>
            </w:pPr>
            <w:r>
              <w:rPr>
                <w:b/>
                <w:bCs/>
                <w:lang w:val="en-GB"/>
              </w:rPr>
              <w:t xml:space="preserve">English Explanation</w:t>
            </w:r>
            <w:r>
              <w:rPr>
                <w:b/>
                <w:bCs/>
                <w:lang w:val="en-GB"/>
              </w:rPr>
            </w:r>
          </w:p>
        </w:tc>
      </w:tr>
      <w:tr>
        <w:trPr/>
        <w:tc>
          <w:tcPr>
            <w:tcBorders/>
            <w:tcW w:w="3681" w:type="dxa"/>
          </w:tcPr>
          <w:p w14:paraId="599FDBF3" w14:textId="13307F07">
            <w:pPr>
              <w:pBdr/>
              <w:spacing/>
              <w:ind/>
              <w:rPr>
                <w:lang w:val="en-GB"/>
              </w:rPr>
            </w:pPr>
            <w:r>
              <w:rPr>
                <w:lang w:val="en-GB"/>
              </w:rPr>
              <w:t xml:space="preserve">Neuer Befund</w:t>
            </w:r>
            <w:r>
              <w:rPr>
                <w:lang w:val="en-GB"/>
              </w:rPr>
            </w:r>
          </w:p>
        </w:tc>
        <w:tc>
          <w:tcPr>
            <w:tcBorders/>
            <w:tcW w:w="5381" w:type="dxa"/>
          </w:tcPr>
          <w:p w14:paraId="64C5E9BE" w14:textId="7B3933E0">
            <w:pPr>
              <w:pBdr/>
              <w:spacing/>
              <w:ind/>
              <w:rPr>
                <w:lang w:val="en-GB"/>
              </w:rPr>
            </w:pPr>
            <w:r>
              <w:rPr>
                <w:lang w:val="en-GB"/>
              </w:rPr>
              <w:t xml:space="preserve">New finding</w:t>
            </w:r>
            <w:r>
              <w:rPr>
                <w:lang w:val="en-GB"/>
              </w:rPr>
            </w:r>
          </w:p>
        </w:tc>
      </w:tr>
      <w:tr>
        <w:trPr/>
        <w:tc>
          <w:tcPr>
            <w:tcBorders/>
            <w:tcW w:w="3681" w:type="dxa"/>
          </w:tcPr>
          <w:p w14:paraId="07BDB4D3" w14:textId="4431B574">
            <w:pPr>
              <w:pBdr/>
              <w:spacing/>
              <w:ind/>
              <w:rPr>
                <w:lang w:val="en-GB"/>
              </w:rPr>
            </w:pPr>
            <w:r>
              <w:rPr>
                <w:lang w:val="en-GB"/>
              </w:rPr>
              <w:t xml:space="preserve">Größenzunahme</w:t>
            </w:r>
            <w:r>
              <w:rPr>
                <w:lang w:val="en-GB"/>
              </w:rPr>
            </w:r>
          </w:p>
        </w:tc>
        <w:tc>
          <w:tcPr>
            <w:tcBorders/>
            <w:tcW w:w="5381" w:type="dxa"/>
          </w:tcPr>
          <w:p w14:paraId="13CEBFB9" w14:textId="325A7FF9">
            <w:pPr>
              <w:pBdr/>
              <w:spacing/>
              <w:ind/>
              <w:rPr>
                <w:lang w:val="en-GB"/>
              </w:rPr>
            </w:pPr>
            <w:r>
              <w:rPr>
                <w:lang w:val="en-GB"/>
              </w:rPr>
              <w:t xml:space="preserve">Increased size</w:t>
            </w:r>
            <w:r>
              <w:rPr>
                <w:lang w:val="en-GB"/>
              </w:rPr>
            </w:r>
          </w:p>
        </w:tc>
      </w:tr>
      <w:tr>
        <w:trPr/>
        <w:tc>
          <w:tcPr>
            <w:tcBorders/>
            <w:tcW w:w="3681" w:type="dxa"/>
          </w:tcPr>
          <w:p w14:paraId="346CD5BE" w14:textId="39FA934A">
            <w:pPr>
              <w:pBdr/>
              <w:spacing/>
              <w:ind/>
              <w:rPr>
                <w:lang w:val="en-GB"/>
              </w:rPr>
            </w:pPr>
            <w:r>
              <w:rPr>
                <w:lang w:val="en-GB"/>
              </w:rPr>
              <w:t xml:space="preserve">Größenabnahme</w:t>
            </w:r>
            <w:r>
              <w:rPr>
                <w:lang w:val="en-GB"/>
              </w:rPr>
            </w:r>
          </w:p>
        </w:tc>
        <w:tc>
          <w:tcPr>
            <w:tcBorders/>
            <w:tcW w:w="5381" w:type="dxa"/>
          </w:tcPr>
          <w:p w14:paraId="4E50AB78" w14:textId="5ADF7685">
            <w:pPr>
              <w:pBdr/>
              <w:spacing/>
              <w:ind/>
              <w:rPr>
                <w:lang w:val="en-GB"/>
              </w:rPr>
            </w:pPr>
            <w:r>
              <w:rPr>
                <w:lang w:val="en-GB"/>
              </w:rPr>
              <w:t xml:space="preserve">Decreased size</w:t>
            </w:r>
            <w:r>
              <w:rPr>
                <w:lang w:val="en-GB"/>
              </w:rPr>
            </w:r>
          </w:p>
        </w:tc>
      </w:tr>
      <w:tr>
        <w:trPr/>
        <w:tc>
          <w:tcPr>
            <w:tcBorders/>
            <w:tcW w:w="3681" w:type="dxa"/>
          </w:tcPr>
          <w:p w14:paraId="4456D7CC" w14:textId="3C056912">
            <w:pPr>
              <w:pBdr/>
              <w:spacing/>
              <w:ind/>
              <w:rPr>
                <w:lang w:val="en-GB"/>
              </w:rPr>
            </w:pPr>
            <w:r>
              <w:rPr>
                <w:lang w:val="en-GB"/>
              </w:rPr>
              <w:t xml:space="preserve">Zunahme der Anzahl</w:t>
            </w:r>
            <w:r>
              <w:rPr>
                <w:lang w:val="en-GB"/>
              </w:rPr>
            </w:r>
          </w:p>
        </w:tc>
        <w:tc>
          <w:tcPr>
            <w:tcBorders/>
            <w:tcW w:w="5381" w:type="dxa"/>
          </w:tcPr>
          <w:p w14:paraId="52A17F15" w14:textId="6D95CC0D">
            <w:pPr>
              <w:pBdr/>
              <w:spacing/>
              <w:ind/>
              <w:rPr>
                <w:lang w:val="en-GB"/>
              </w:rPr>
            </w:pPr>
            <w:r>
              <w:rPr>
                <w:lang w:val="en-GB"/>
              </w:rPr>
              <w:t xml:space="preserve">Increase count</w:t>
            </w:r>
            <w:r>
              <w:rPr>
                <w:lang w:val="en-GB"/>
              </w:rPr>
            </w:r>
          </w:p>
        </w:tc>
      </w:tr>
      <w:tr>
        <w:trPr/>
        <w:tc>
          <w:tcPr>
            <w:tcBorders/>
            <w:tcW w:w="3681" w:type="dxa"/>
          </w:tcPr>
          <w:p w14:paraId="7B66EA56" w14:textId="6A8806C5">
            <w:pPr>
              <w:pBdr/>
              <w:spacing/>
              <w:ind/>
              <w:rPr>
                <w:lang w:val="en-GB"/>
              </w:rPr>
            </w:pPr>
            <w:r>
              <w:rPr>
                <w:lang w:val="en-GB"/>
              </w:rPr>
              <w:t xml:space="preserve">Abnahme der Anzahl</w:t>
            </w:r>
            <w:r>
              <w:rPr>
                <w:lang w:val="en-GB"/>
              </w:rPr>
            </w:r>
          </w:p>
        </w:tc>
        <w:tc>
          <w:tcPr>
            <w:tcBorders/>
            <w:tcW w:w="5381" w:type="dxa"/>
          </w:tcPr>
          <w:p w14:paraId="3638E6CB" w14:textId="4E678056">
            <w:pPr>
              <w:pBdr/>
              <w:spacing/>
              <w:ind/>
              <w:rPr>
                <w:lang w:val="en-GB"/>
              </w:rPr>
            </w:pPr>
            <w:r>
              <w:rPr>
                <w:lang w:val="en-GB"/>
              </w:rPr>
              <w:t xml:space="preserve">Decreased count</w:t>
            </w:r>
            <w:r>
              <w:rPr>
                <w:lang w:val="en-GB"/>
              </w:rPr>
            </w:r>
          </w:p>
        </w:tc>
      </w:tr>
      <w:tr>
        <w:trPr/>
        <w:tc>
          <w:tcPr>
            <w:tcBorders/>
            <w:tcW w:w="3681" w:type="dxa"/>
          </w:tcPr>
          <w:p w14:paraId="5AF3F39D" w14:textId="5E56A6E8">
            <w:pPr>
              <w:pBdr/>
              <w:spacing/>
              <w:ind/>
              <w:rPr>
                <w:lang w:val="en-GB"/>
              </w:rPr>
            </w:pPr>
            <w:r>
              <w:rPr>
                <w:lang w:val="en-GB"/>
              </w:rPr>
              <w:t xml:space="preserve">Dichtezunahme</w:t>
            </w:r>
            <w:r>
              <w:rPr>
                <w:lang w:val="en-GB"/>
              </w:rPr>
            </w:r>
          </w:p>
        </w:tc>
        <w:tc>
          <w:tcPr>
            <w:tcBorders/>
            <w:tcW w:w="5381" w:type="dxa"/>
          </w:tcPr>
          <w:p w14:paraId="5BD5A33A" w14:textId="0D83E1C3">
            <w:pPr>
              <w:pBdr/>
              <w:spacing/>
              <w:ind/>
              <w:rPr>
                <w:lang w:val="en-GB"/>
              </w:rPr>
            </w:pPr>
            <w:r>
              <w:rPr>
                <w:lang w:val="en-GB"/>
              </w:rPr>
              <w:t xml:space="preserve">Increased density</w:t>
            </w:r>
            <w:r>
              <w:rPr>
                <w:lang w:val="en-GB"/>
              </w:rPr>
            </w:r>
          </w:p>
        </w:tc>
      </w:tr>
      <w:tr>
        <w:trPr/>
        <w:tc>
          <w:tcPr>
            <w:tcBorders/>
            <w:tcW w:w="3681" w:type="dxa"/>
          </w:tcPr>
          <w:p w14:paraId="615953B2" w14:textId="3B759DF6">
            <w:pPr>
              <w:pBdr/>
              <w:spacing/>
              <w:ind/>
              <w:rPr>
                <w:lang w:val="en-GB"/>
              </w:rPr>
            </w:pPr>
            <w:r>
              <w:rPr>
                <w:lang w:val="en-GB"/>
              </w:rPr>
              <w:t xml:space="preserve">Dichteabnahme</w:t>
            </w:r>
            <w:r>
              <w:rPr>
                <w:lang w:val="en-GB"/>
              </w:rPr>
            </w:r>
          </w:p>
        </w:tc>
        <w:tc>
          <w:tcPr>
            <w:tcBorders/>
            <w:tcW w:w="5381" w:type="dxa"/>
          </w:tcPr>
          <w:p w14:paraId="3AECAB2E" w14:textId="59E3AD12">
            <w:pPr>
              <w:pBdr/>
              <w:spacing/>
              <w:ind/>
              <w:rPr>
                <w:lang w:val="en-GB"/>
              </w:rPr>
            </w:pPr>
            <w:r>
              <w:rPr>
                <w:lang w:val="en-GB"/>
              </w:rPr>
              <w:t xml:space="preserve">Decreased density</w:t>
            </w:r>
            <w:r>
              <w:rPr>
                <w:lang w:val="en-GB"/>
              </w:rPr>
            </w:r>
          </w:p>
        </w:tc>
      </w:tr>
      <w:tr>
        <w:trPr/>
        <w:tc>
          <w:tcPr>
            <w:tcBorders/>
            <w:tcW w:w="3681" w:type="dxa"/>
          </w:tcPr>
          <w:p w14:paraId="3082C7A7" w14:textId="24593271">
            <w:pPr>
              <w:pBdr/>
              <w:spacing/>
              <w:ind/>
              <w:rPr>
                <w:lang w:val="en-GB"/>
              </w:rPr>
            </w:pPr>
            <w:r>
              <w:rPr>
                <w:lang w:val="en-GB"/>
              </w:rPr>
              <w:t xml:space="preserve">Zunahme des soli</w:t>
            </w:r>
            <w:r>
              <w:rPr>
                <w:lang w:val="en-US"/>
              </w:rPr>
              <w:t xml:space="preserve">d</w:t>
            </w:r>
            <w:r>
              <w:rPr>
                <w:lang w:val="en-GB"/>
              </w:rPr>
              <w:t xml:space="preserve">en Anteils</w:t>
            </w:r>
            <w:r>
              <w:rPr>
                <w:lang w:val="en-GB"/>
              </w:rPr>
            </w:r>
          </w:p>
        </w:tc>
        <w:tc>
          <w:tcPr>
            <w:tcBorders/>
            <w:tcW w:w="5381" w:type="dxa"/>
          </w:tcPr>
          <w:p w14:paraId="24321734" w14:textId="6BEA84FA">
            <w:pPr>
              <w:pBdr/>
              <w:spacing/>
              <w:ind/>
              <w:rPr>
                <w:lang w:val="en-GB"/>
              </w:rPr>
            </w:pPr>
            <w:r>
              <w:rPr>
                <w:lang w:val="en-GB"/>
              </w:rPr>
              <w:t xml:space="preserve">Increased solid component</w:t>
            </w:r>
            <w:r>
              <w:rPr>
                <w:lang w:val="en-GB"/>
              </w:rPr>
            </w:r>
          </w:p>
        </w:tc>
      </w:tr>
      <w:tr>
        <w:trPr/>
        <w:tc>
          <w:tcPr>
            <w:tcBorders/>
            <w:tcW w:w="3681" w:type="dxa"/>
          </w:tcPr>
          <w:p w14:paraId="39C724D5" w14:textId="09638482">
            <w:pPr>
              <w:pBdr/>
              <w:spacing/>
              <w:ind/>
              <w:rPr>
                <w:lang w:val="en-GB"/>
              </w:rPr>
            </w:pPr>
            <w:r>
              <w:rPr>
                <w:lang w:val="en-GB"/>
              </w:rPr>
              <w:t xml:space="preserve">Abnahme des soliden Anteils</w:t>
            </w:r>
            <w:r>
              <w:rPr>
                <w:lang w:val="en-GB"/>
              </w:rPr>
            </w:r>
          </w:p>
        </w:tc>
        <w:tc>
          <w:tcPr>
            <w:tcBorders/>
            <w:tcW w:w="5381" w:type="dxa"/>
          </w:tcPr>
          <w:p w14:paraId="27DCE0B6" w14:textId="16DC17A9">
            <w:pPr>
              <w:pBdr/>
              <w:spacing/>
              <w:ind/>
              <w:rPr>
                <w:lang w:val="en-GB"/>
              </w:rPr>
            </w:pPr>
            <w:r>
              <w:rPr>
                <w:lang w:val="en-GB"/>
              </w:rPr>
              <w:t xml:space="preserve">Decreased solid component</w:t>
            </w:r>
            <w:r>
              <w:rPr>
                <w:lang w:val="en-GB"/>
              </w:rPr>
            </w:r>
          </w:p>
        </w:tc>
      </w:tr>
      <w:tr>
        <w:trPr/>
        <w:tc>
          <w:tcPr>
            <w:tcBorders/>
            <w:tcW w:w="3681" w:type="dxa"/>
          </w:tcPr>
          <w:p w14:paraId="20DB4E52" w14:textId="7F10A16A">
            <w:pPr>
              <w:pBdr/>
              <w:spacing/>
              <w:ind/>
              <w:rPr>
                <w:lang w:val="en-GB"/>
              </w:rPr>
            </w:pPr>
            <w:r>
              <w:rPr>
                <w:lang w:val="en-GB"/>
              </w:rPr>
              <w:t xml:space="preserve">Zunahme der Ausdehnung</w:t>
            </w:r>
            <w:r>
              <w:rPr>
                <w:lang w:val="en-GB"/>
              </w:rPr>
            </w:r>
          </w:p>
        </w:tc>
        <w:tc>
          <w:tcPr>
            <w:tcBorders/>
            <w:tcW w:w="5381" w:type="dxa"/>
          </w:tcPr>
          <w:p w14:paraId="1858507F" w14:textId="0BBF2001">
            <w:pPr>
              <w:pBdr/>
              <w:spacing/>
              <w:ind/>
              <w:rPr>
                <w:lang w:val="en-GB"/>
              </w:rPr>
            </w:pPr>
            <w:r>
              <w:rPr>
                <w:lang w:val="en-GB"/>
              </w:rPr>
              <w:t xml:space="preserve">Increased extent</w:t>
            </w:r>
            <w:r>
              <w:rPr>
                <w:lang w:val="en-GB"/>
              </w:rPr>
            </w:r>
          </w:p>
        </w:tc>
      </w:tr>
      <w:tr>
        <w:trPr/>
        <w:tc>
          <w:tcPr>
            <w:tcBorders/>
            <w:tcW w:w="3681" w:type="dxa"/>
          </w:tcPr>
          <w:p w14:paraId="7F31848F" w14:textId="7273ADCB">
            <w:pPr>
              <w:pBdr/>
              <w:spacing/>
              <w:ind/>
              <w:rPr>
                <w:lang w:val="en-GB"/>
              </w:rPr>
            </w:pPr>
            <w:r>
              <w:rPr>
                <w:lang w:val="en-GB"/>
              </w:rPr>
              <w:t xml:space="preserve">Abnahme der Ausdehnung</w:t>
            </w:r>
            <w:r>
              <w:rPr>
                <w:lang w:val="en-GB"/>
              </w:rPr>
            </w:r>
          </w:p>
        </w:tc>
        <w:tc>
          <w:tcPr>
            <w:tcBorders/>
            <w:tcW w:w="5381" w:type="dxa"/>
          </w:tcPr>
          <w:p w14:paraId="29B74F6C" w14:textId="02CAACE4">
            <w:pPr>
              <w:pBdr/>
              <w:spacing/>
              <w:ind/>
              <w:rPr>
                <w:lang w:val="en-GB"/>
              </w:rPr>
            </w:pPr>
            <w:r>
              <w:rPr>
                <w:lang w:val="en-GB"/>
              </w:rPr>
              <w:t xml:space="preserve">Decreased extent</w:t>
            </w:r>
            <w:r>
              <w:rPr>
                <w:lang w:val="en-GB"/>
              </w:rPr>
            </w:r>
          </w:p>
        </w:tc>
      </w:tr>
      <w:tr>
        <w:trPr/>
        <w:tc>
          <w:tcPr>
            <w:tcBorders/>
            <w:tcW w:w="3681" w:type="dxa"/>
          </w:tcPr>
          <w:p w14:paraId="02231F7F" w14:textId="75DB6B83">
            <w:pPr>
              <w:pBdr/>
              <w:spacing/>
              <w:ind/>
              <w:rPr>
                <w:lang w:val="en-GB"/>
              </w:rPr>
            </w:pPr>
            <w:r>
              <w:rPr>
                <w:lang w:val="en-GB"/>
              </w:rPr>
              <w:t xml:space="preserve">Morphologische Veränderung</w:t>
            </w:r>
            <w:r>
              <w:rPr>
                <w:lang w:val="en-GB"/>
              </w:rPr>
            </w:r>
          </w:p>
        </w:tc>
        <w:tc>
          <w:tcPr>
            <w:tcBorders/>
            <w:tcW w:w="5381" w:type="dxa"/>
          </w:tcPr>
          <w:p w14:paraId="187BF7DF" w14:textId="235B8A35">
            <w:pPr>
              <w:pBdr/>
              <w:spacing/>
              <w:ind/>
              <w:rPr>
                <w:lang w:val="en-GB"/>
              </w:rPr>
            </w:pPr>
            <w:r>
              <w:rPr>
                <w:lang w:val="en-GB"/>
              </w:rPr>
              <w:t xml:space="preserve">Morphologic change</w:t>
            </w:r>
            <w:r>
              <w:rPr>
                <w:lang w:val="en-GB"/>
              </w:rPr>
            </w:r>
          </w:p>
        </w:tc>
      </w:tr>
      <w:tr>
        <w:trPr/>
        <w:tc>
          <w:tcPr>
            <w:tcBorders/>
            <w:tcW w:w="3681" w:type="dxa"/>
          </w:tcPr>
          <w:p w14:paraId="28A7510D" w14:textId="2ADD1BFD">
            <w:pPr>
              <w:pBdr/>
              <w:spacing/>
              <w:ind/>
              <w:rPr>
                <w:lang w:val="en-GB"/>
              </w:rPr>
            </w:pPr>
            <w:r>
              <w:rPr>
                <w:lang w:val="en-GB"/>
              </w:rPr>
              <w:t xml:space="preserve">Nicht mehr nachweisbar</w:t>
            </w:r>
            <w:r>
              <w:rPr>
                <w:lang w:val="en-GB"/>
              </w:rPr>
            </w:r>
          </w:p>
        </w:tc>
        <w:tc>
          <w:tcPr>
            <w:tcBorders/>
            <w:tcW w:w="5381" w:type="dxa"/>
          </w:tcPr>
          <w:p w14:paraId="35DD2482" w14:textId="24A69FDC">
            <w:pPr>
              <w:pBdr/>
              <w:spacing/>
              <w:ind/>
              <w:rPr>
                <w:highlight w:val="none"/>
                <w:lang w:val="en-US"/>
              </w:rPr>
            </w:pPr>
            <w:r>
              <w:rPr>
                <w:lang w:val="en-GB"/>
              </w:rPr>
              <w:t xml:space="preserve">No longer detectable</w:t>
            </w:r>
            <w:r>
              <w:rPr>
                <w:lang w:val="en-US"/>
              </w:rPr>
              <w:t xml:space="preserve"> — requires an explicit absence evidence given in the report text.</w:t>
            </w:r>
            <w:r>
              <w:rPr>
                <w:highlight w:val="none"/>
                <w:lang w:val="en-GB"/>
              </w:rPr>
            </w:r>
            <w:r>
              <w:rPr>
                <w:highlight w:val="none"/>
                <w:lang w:val="en-US"/>
              </w:rPr>
            </w:r>
          </w:p>
        </w:tc>
      </w:tr>
      <w:tr>
        <w:trPr/>
        <w:tc>
          <w:tcPr>
            <w:tcBorders/>
            <w:tcW w:w="3681" w:type="dxa"/>
          </w:tcPr>
          <w:p w14:paraId="4F8CD692" w14:textId="373F3471">
            <w:pPr>
              <w:pBdr/>
              <w:spacing/>
              <w:ind/>
              <w:rPr>
                <w:lang w:val="en-GB"/>
              </w:rPr>
            </w:pPr>
            <w:r>
              <w:rPr>
                <w:lang w:val="en-GB"/>
              </w:rPr>
              <w:t xml:space="preserve">Neue Komplikation</w:t>
            </w:r>
            <w:r>
              <w:rPr>
                <w:lang w:val="en-GB"/>
              </w:rPr>
            </w:r>
          </w:p>
        </w:tc>
        <w:tc>
          <w:tcPr>
            <w:tcBorders/>
            <w:tcW w:w="5381" w:type="dxa"/>
          </w:tcPr>
          <w:p w14:paraId="69108E9B" w14:textId="4024142B">
            <w:pPr>
              <w:pBdr/>
              <w:spacing/>
              <w:ind/>
              <w:rPr>
                <w:lang w:val="en-GB"/>
              </w:rPr>
            </w:pPr>
            <w:r>
              <w:rPr>
                <w:lang w:val="en-GB"/>
              </w:rPr>
              <w:t xml:space="preserve">New complication</w:t>
            </w:r>
            <w:r>
              <w:rPr>
                <w:lang w:val="en-GB"/>
              </w:rPr>
            </w:r>
          </w:p>
        </w:tc>
      </w:tr>
      <w:tr>
        <w:trPr/>
        <w:tc>
          <w:tcPr>
            <w:tcBorders/>
            <w:tcW w:w="3681" w:type="dxa"/>
          </w:tcPr>
          <w:p w14:paraId="2E3D7E66" w14:textId="79839E36">
            <w:pPr>
              <w:pBdr/>
              <w:spacing/>
              <w:ind/>
              <w:rPr>
                <w:lang w:val="en-GB"/>
              </w:rPr>
            </w:pPr>
            <w:r>
              <w:rPr>
                <w:lang w:val="en-GB"/>
              </w:rPr>
              <w:t xml:space="preserve">Keine Befundsänderung</w:t>
            </w:r>
            <w:r>
              <w:rPr>
                <w:lang w:val="en-GB"/>
              </w:rPr>
            </w:r>
          </w:p>
        </w:tc>
        <w:tc>
          <w:tcPr>
            <w:tcBorders/>
            <w:tcW w:w="5381" w:type="dxa"/>
          </w:tcPr>
          <w:p w14:paraId="0826E42D" w14:textId="45DD846C">
            <w:pPr>
              <w:pBdr/>
              <w:spacing/>
              <w:ind/>
              <w:rPr>
                <w:lang w:val="en-GB"/>
              </w:rPr>
            </w:pPr>
            <w:r>
              <w:rPr>
                <w:lang w:val="en-GB"/>
              </w:rPr>
              <w:t xml:space="preserve">No relevant change</w:t>
            </w:r>
            <w:r>
              <w:rPr>
                <w:lang w:val="en-GB"/>
              </w:rPr>
            </w:r>
          </w:p>
        </w:tc>
      </w:tr>
      <w:tr>
        <w:trPr/>
        <w:tc>
          <w:tcPr>
            <w:tcBorders/>
            <w:tcW w:w="3681" w:type="dxa"/>
          </w:tcPr>
          <w:p w14:paraId="55579468" w14:textId="2EB7C08C">
            <w:pPr>
              <w:pBdr/>
              <w:spacing/>
              <w:ind/>
              <w:rPr>
                <w:lang w:val="en-GB"/>
              </w:rPr>
            </w:pPr>
            <w:r>
              <w:rPr>
                <w:lang w:val="en-GB"/>
              </w:rPr>
              <w:t xml:space="preserve">Mögliche </w:t>
            </w:r>
            <w:r>
              <w:rPr>
                <w:lang w:val="en-GB"/>
              </w:rPr>
              <w:t xml:space="preserve">Nachsorgelücke</w:t>
            </w:r>
            <w:r>
              <w:rPr>
                <w:lang w:val="en-GB"/>
              </w:rPr>
            </w:r>
          </w:p>
        </w:tc>
        <w:tc>
          <w:tcPr>
            <w:tcBorders/>
            <w:tcW w:w="5381" w:type="dxa"/>
          </w:tcPr>
          <w:p w14:paraId="1BE545E8" w14:textId="2166D258">
            <w:pPr>
              <w:pBdr/>
              <w:spacing/>
              <w:ind/>
              <w:rPr>
                <w:lang w:val="en-GB"/>
              </w:rPr>
            </w:pPr>
            <w:r>
              <w:rPr>
                <w:lang w:val="en-GB"/>
              </w:rPr>
              <w:t xml:space="preserve">Surveillance gap </w:t>
            </w:r>
            <w:r>
              <w:rPr>
                <w:lang w:val="en-GB"/>
              </w:rPr>
              <w:t xml:space="preserve">–</w:t>
            </w:r>
            <w:r>
              <w:rPr>
                <w:lang w:val="en-GB"/>
              </w:rPr>
              <w:t xml:space="preserve"> </w:t>
            </w:r>
            <w:r>
              <w:rPr>
                <w:lang w:val="en-GB"/>
              </w:rPr>
              <w:t xml:space="preserve">set when the interval between the examinations exceeds the follow-up interval normally expected for the entity/clinical question (more than 12 months for oncologic surveillance, unless specified otherwise), and no interim reports exists in the database.</w:t>
            </w:r>
            <w:r>
              <w:rPr>
                <w:lang w:val="en-GB"/>
              </w:rPr>
            </w:r>
          </w:p>
        </w:tc>
      </w:tr>
    </w:tbl>
    <w:p w14:paraId="68B0E4C4" w14:textId="77777777">
      <w:pPr>
        <w:pBdr/>
        <w:spacing/>
        <w:ind/>
        <w:rPr>
          <w:lang w:val="en-GB"/>
        </w:rPr>
      </w:pPr>
      <w:r>
        <w:rPr>
          <w:lang w:val="en-GB"/>
        </w:rPr>
      </w:r>
      <w:r>
        <w:rPr>
          <w:lang w:val="en-GB"/>
        </w:rPr>
      </w:r>
    </w:p>
    <w:p w14:paraId="55236BBA" w14:textId="33DFC4E2">
      <w:pPr>
        <w:pStyle w:val="707"/>
        <w:numPr>
          <w:ilvl w:val="0"/>
          <w:numId w:val="2"/>
        </w:numPr>
        <w:pBdr/>
        <w:spacing/>
        <w:ind/>
        <w:rPr>
          <w:b/>
          <w:bCs/>
          <w:lang w:val="en-GB"/>
        </w:rPr>
      </w:pPr>
      <w:r>
        <w:rPr>
          <w:b/>
          <w:bCs/>
          <w:lang w:val="en-GB"/>
        </w:rPr>
        <w:t xml:space="preserve">Wesentliche Veränderung (essential change)</w:t>
      </w:r>
      <w:r>
        <w:rPr>
          <w:b/>
          <w:bCs/>
          <w:lang w:val="en-GB"/>
        </w:rPr>
      </w:r>
    </w:p>
    <w:p w14:paraId="1F82143B" w14:textId="212555E8">
      <w:pPr>
        <w:pBdr/>
        <w:spacing/>
        <w:ind/>
        <w:rPr>
          <w:lang w:val="en-GB"/>
        </w:rPr>
      </w:pPr>
      <w:r>
        <w:rPr>
          <w:lang w:val="en-GB"/>
        </w:rPr>
        <w:t xml:space="preserve">This attribute captures the most important change(s) within one connected paragraph consisting of 1-3 sentences</w:t>
      </w:r>
      <w:r>
        <w:rPr>
          <w:lang w:val="en-GB"/>
        </w:rPr>
        <w:t xml:space="preserve">;</w:t>
      </w:r>
      <w:r>
        <w:rPr>
          <w:lang w:val="en-GB"/>
        </w:rPr>
        <w:t xml:space="preserve"> even with several sub-aspects and complexes</w:t>
      </w:r>
      <w:r>
        <w:rPr>
          <w:lang w:val="en-GB"/>
        </w:rPr>
        <w:t xml:space="preserve">,</w:t>
      </w:r>
      <w:r>
        <w:rPr>
          <w:lang w:val="en-GB"/>
        </w:rPr>
        <w:t xml:space="preserve"> it remains one paragraph – sub-aspects are linked linguistically and not listed.</w:t>
      </w:r>
      <w:r>
        <w:rPr>
          <w:lang w:val="en-US"/>
        </w:rPr>
        <w:t xml:space="preserve"> Where relevant, the lab values available supporting the change can be named, yet only as supplementary evidence.</w:t>
      </w:r>
      <w:r>
        <w:rPr>
          <w:lang w:val="en-GB"/>
        </w:rPr>
      </w:r>
    </w:p>
    <w:p w14:paraId="2FD72D77" w14:textId="06474961">
      <w:pPr>
        <w:pBdr/>
        <w:spacing/>
        <w:ind/>
        <w:rPr>
          <w:lang w:val="en-GB"/>
        </w:rPr>
      </w:pPr>
      <w:r>
        <w:rPr>
          <w:lang w:val="en-GB"/>
        </w:rPr>
        <w:t xml:space="preserve">The d</w:t>
      </w:r>
      <w:r>
        <w:rPr>
          <w:lang w:val="en-GB"/>
        </w:rPr>
        <w:t xml:space="preserve">efault phrasing when nothing relevant</w:t>
      </w:r>
      <w:r>
        <w:rPr>
          <w:lang w:val="en-GB"/>
        </w:rPr>
        <w:t xml:space="preserve"> has</w:t>
      </w:r>
      <w:r>
        <w:rPr>
          <w:lang w:val="en-GB"/>
        </w:rPr>
        <w:t xml:space="preserve"> changed would be “Keine wesentliche Intervallveränderung” (“No significant interval change”).</w:t>
      </w:r>
      <w:r>
        <w:rPr>
          <w:lang w:val="en-GB"/>
        </w:rPr>
      </w:r>
    </w:p>
    <w:p w14:paraId="5BA07AE4" w14:textId="7CB868C4">
      <w:pPr>
        <w:pBdr/>
        <w:spacing/>
        <w:ind/>
        <w:rPr>
          <w:lang w:val="en-GB"/>
        </w:rPr>
      </w:pPr>
      <w:r>
        <w:rPr>
          <w:lang w:val="en-GB"/>
        </w:rPr>
        <w:t xml:space="preserve">When the change label “Mögliche Nachsorgelücke” is included, the context should be given by naming the length of the gap before the substantive findings follow.</w:t>
      </w:r>
      <w:r>
        <w:rPr>
          <w:lang w:val="en-GB"/>
        </w:rPr>
      </w:r>
    </w:p>
    <w:tbl>
      <w:tblPr>
        <w:tblStyle w:val="71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62"/>
      </w:tblGrid>
      <w:tr>
        <w:trPr/>
        <w:tc>
          <w:tcPr>
            <w:tcBorders/>
            <w:tcW w:w="9062" w:type="dxa"/>
          </w:tcPr>
          <w:p w14:paraId="25BBABA9" w14:textId="5F813F7C">
            <w:pPr>
              <w:pBdr/>
              <w:spacing/>
              <w:ind/>
              <w:rPr>
                <w:i/>
                <w:iCs/>
                <w:color w:val="3a3a3a" w:themeColor="background2" w:themeShade="40"/>
                <w:lang w:val="en-GB"/>
              </w:rPr>
            </w:pPr>
            <w:r>
              <w:rPr>
                <w:i/>
                <w:iCs/>
                <w:color w:val="3a3a3a" w:themeColor="background2" w:themeShade="40"/>
                <w:lang w:val="en-GB"/>
              </w:rPr>
              <w:t xml:space="preserve">Sample Annotation</w:t>
            </w:r>
            <w:r>
              <w:rPr>
                <w:i/>
                <w:iCs/>
                <w:color w:val="3a3a3a" w:themeColor="background2" w:themeShade="40"/>
                <w:lang w:val="en-GB"/>
              </w:rPr>
            </w:r>
          </w:p>
          <w:p w14:paraId="4ACBA157" w14:textId="48B9939D">
            <w:pPr>
              <w:pBdr/>
              <w:spacing/>
              <w:ind/>
              <w:rPr>
                <w:b/>
                <w:bCs/>
                <w:i/>
                <w:iCs/>
                <w:color w:val="3a3a3a" w:themeColor="background2" w:themeShade="40"/>
                <w:lang w:val="en-GB"/>
              </w:rPr>
            </w:pPr>
            <w:r>
              <w:rPr>
                <w:b/>
                <w:bCs/>
                <w:i/>
                <w:iCs/>
                <w:color w:val="3a3a3a" w:themeColor="background2" w:themeShade="40"/>
                <w:lang w:val="en-GB"/>
              </w:rPr>
            </w:r>
            <w:r>
              <w:rPr>
                <w:b/>
                <w:bCs/>
                <w:i/>
                <w:iCs/>
                <w:color w:val="3a3a3a" w:themeColor="background2" w:themeShade="40"/>
                <w:lang w:val="en-GB"/>
              </w:rPr>
            </w:r>
          </w:p>
        </w:tc>
      </w:tr>
      <w:tr>
        <w:trPr>
          <w:trHeight w:val="569"/>
        </w:trPr>
        <w:tc>
          <w:tcPr>
            <w:tcBorders/>
            <w:tcW w:w="9062" w:type="dxa"/>
          </w:tcPr>
          <w:p w14:paraId="169405E9" w14:textId="2857E90E">
            <w:pPr>
              <w:pBdr/>
              <w:spacing/>
              <w:ind/>
              <w:rPr>
                <w:rStyle w:val="713"/>
                <w:b w:val="0"/>
                <w:bCs w:val="0"/>
                <w:color w:val="3a3a3a" w:themeColor="background2" w:themeShade="40"/>
              </w:rPr>
            </w:pPr>
            <w:r>
              <w:rPr>
                <w:rStyle w:val="713"/>
                <w:color w:val="3a3a3a" w:themeColor="background2" w:themeShade="40"/>
              </w:rPr>
              <w:t xml:space="preserve">Vergleichbarkeit:</w:t>
            </w:r>
            <w:r>
              <w:rPr>
                <w:rStyle w:val="713"/>
                <w:b w:val="0"/>
                <w:bCs w:val="0"/>
                <w:color w:val="3a3a3a" w:themeColor="background2" w:themeShade="40"/>
              </w:rPr>
              <w:t xml:space="preserve"> Vergleichbar</w:t>
            </w:r>
            <w:r>
              <w:rPr>
                <w:rStyle w:val="713"/>
                <w:b w:val="0"/>
                <w:bCs w:val="0"/>
                <w:color w:val="3a3a3a" w:themeColor="background2" w:themeShade="40"/>
              </w:rPr>
            </w:r>
          </w:p>
          <w:p w14:paraId="2F4A3F60" w14:textId="4E6E06B0">
            <w:pPr>
              <w:pBdr/>
              <w:spacing/>
              <w:ind/>
              <w:rPr>
                <w:rStyle w:val="713"/>
                <w:b w:val="0"/>
                <w:bCs w:val="0"/>
                <w:color w:val="3a3a3a" w:themeColor="background2" w:themeShade="40"/>
              </w:rPr>
            </w:pPr>
            <w:r>
              <w:rPr>
                <w:rStyle w:val="713"/>
                <w:color w:val="3a3a3a" w:themeColor="background2" w:themeShade="40"/>
              </w:rPr>
              <w:t xml:space="preserve">Hauptverlaufslabel:</w:t>
            </w:r>
            <w:r>
              <w:rPr>
                <w:rStyle w:val="713"/>
                <w:b w:val="0"/>
                <w:bCs w:val="0"/>
                <w:color w:val="3a3a3a" w:themeColor="background2" w:themeShade="40"/>
              </w:rPr>
              <w:t xml:space="preserve"> Gemischte Veränderung</w:t>
            </w:r>
            <w:r>
              <w:rPr>
                <w:rStyle w:val="713"/>
                <w:b w:val="0"/>
                <w:bCs w:val="0"/>
                <w:color w:val="3a3a3a" w:themeColor="background2" w:themeShade="40"/>
              </w:rPr>
            </w:r>
          </w:p>
          <w:p w14:paraId="14606714" w14:textId="3F75DF89">
            <w:pPr>
              <w:pBdr/>
              <w:spacing/>
              <w:ind/>
              <w:rPr>
                <w:rStyle w:val="713"/>
                <w:b w:val="0"/>
                <w:bCs w:val="0"/>
                <w:color w:val="3a3a3a" w:themeColor="background2" w:themeShade="40"/>
              </w:rPr>
            </w:pPr>
            <w:r>
              <w:rPr>
                <w:rStyle w:val="713"/>
                <w:color w:val="3a3a3a" w:themeColor="background2" w:themeShade="40"/>
              </w:rPr>
              <w:t xml:space="preserve">Veränderungslabel:</w:t>
            </w:r>
            <w:r>
              <w:rPr>
                <w:rStyle w:val="713"/>
                <w:b w:val="0"/>
                <w:bCs w:val="0"/>
                <w:color w:val="3a3a3a" w:themeColor="background2" w:themeShade="40"/>
              </w:rPr>
              <w:t xml:space="preserve"> </w:t>
            </w:r>
            <w:r>
              <w:rPr>
                <w:rStyle w:val="713"/>
                <w:b w:val="0"/>
                <w:bCs w:val="0"/>
                <w:color w:val="3a3a3a" w:themeColor="background2" w:themeShade="40"/>
              </w:rPr>
              <w:t xml:space="preserve">Mögliche </w:t>
            </w:r>
            <w:r>
              <w:rPr>
                <w:rStyle w:val="713"/>
                <w:b w:val="0"/>
                <w:bCs w:val="0"/>
                <w:color w:val="3a3a3a" w:themeColor="background2" w:themeShade="40"/>
              </w:rPr>
              <w:t xml:space="preserve">Nachsorgelücke, Neuer Befund</w:t>
            </w:r>
            <w:r>
              <w:rPr>
                <w:rStyle w:val="713"/>
                <w:b w:val="0"/>
                <w:bCs w:val="0"/>
                <w:color w:val="3a3a3a" w:themeColor="background2" w:themeShade="40"/>
              </w:rPr>
            </w:r>
          </w:p>
          <w:p w14:paraId="7BC77222" w14:textId="20022387">
            <w:pPr>
              <w:pBdr/>
              <w:spacing/>
              <w:ind/>
              <w:rPr>
                <w:color w:val="3a3a3a" w:themeColor="background2" w:themeShade="40"/>
              </w:rPr>
            </w:pPr>
            <w:r>
              <w:rPr>
                <w:rStyle w:val="713"/>
                <w:color w:val="3a3a3a" w:themeColor="background2" w:themeShade="40"/>
              </w:rPr>
              <w:t xml:space="preserve">Wesentliche Veränderung:</w:t>
            </w:r>
            <w:r>
              <w:rPr>
                <w:rStyle w:val="713"/>
                <w:b w:val="0"/>
                <w:bCs w:val="0"/>
                <w:color w:val="3a3a3a" w:themeColor="background2" w:themeShade="40"/>
              </w:rPr>
              <w:t xml:space="preserve"> Lücke von ca. 2</w:t>
            </w:r>
            <w:r>
              <w:rPr>
                <w:rStyle w:val="713"/>
                <w:b w:val="0"/>
                <w:bCs w:val="0"/>
                <w:color w:val="3a3a3a" w:themeColor="background2" w:themeShade="40"/>
              </w:rPr>
              <w:t xml:space="preserve"> Jahren 11 Monaten ohne dokumentierte Zwischenbefunde. Deutliches Ansprechen der linksseitigen HCC-Manifestationen nach Radioembolisation, demgegenüber Progredienz rechts mit neuen Läsionen Segment V/VI bei unverändert großem Herd Segment VIII (LI-RADS 5).</w:t>
            </w:r>
            <w:r>
              <w:rPr>
                <w:color w:val="3a3a3a" w:themeColor="background2" w:themeShade="40"/>
              </w:rPr>
            </w:r>
          </w:p>
        </w:tc>
      </w:tr>
    </w:tbl>
    <w:p w14:paraId="5605AA72" w14:textId="77B4E773">
      <w:pPr>
        <w:pBdr/>
        <w:spacing/>
        <w:ind/>
        <w:rPr/>
      </w:pPr>
      <w:r>
        <w:rPr>
          <w:lang w:val="en-US"/>
        </w:rPr>
      </w:r>
      <w:r/>
    </w:p>
    <w:p w14:paraId="5FC75881" w14:textId="221F9EAE">
      <w:pPr>
        <w:pBdr/>
        <w:spacing/>
        <w:ind/>
        <w:rPr>
          <w:lang w:val="en-GB"/>
        </w:rPr>
      </w:pPr>
      <w:r>
        <w:rPr>
          <w:b/>
          <w:bCs/>
          <w:lang w:val="en-GB"/>
        </w:rPr>
        <w:t xml:space="preserve">The Finding-Specific Note</w:t>
      </w:r>
      <w:r>
        <w:rPr>
          <w:lang w:val="en-GB"/>
        </w:rPr>
        <w:t xml:space="preserve"> cap</w:t>
      </w:r>
      <w:r>
        <w:rPr>
          <w:lang w:val="en-GB"/>
        </w:rPr>
        <w:t xml:space="preserve">tures the clinically relevant findings individually by capturing the status at the current timepoint (whether it is newly detected, persistent, no longer detectable, or not accessible), its direction of change (unchanged, increasing, decreasing, mixed, or </w:t>
      </w:r>
      <w:r>
        <w:rPr>
          <w:lang w:val="en-GB"/>
        </w:rPr>
        <w:t xml:space="preserve">indeterminate</w:t>
      </w:r>
      <w:r>
        <w:rPr>
          <w:lang w:val="en-GB"/>
        </w:rPr>
        <w:t xml:space="preserve">), which specific features changed (count, siye, density, solid component, extent, morphology, etc.) and a short evidence snippet quoting or </w:t>
      </w:r>
      <w:r>
        <w:rPr>
          <w:lang w:val="en-GB"/>
        </w:rPr>
        <w:t xml:space="preserve">content wise</w:t>
      </w:r>
      <w:r>
        <w:rPr>
          <w:lang w:val="en-GB"/>
        </w:rPr>
        <w:t xml:space="preserve"> closely paraphrasing the measurement change of the corresponding radiological finding.</w:t>
      </w:r>
      <w:r>
        <w:rPr>
          <w:lang w:val="en-GB"/>
        </w:rPr>
      </w:r>
    </w:p>
    <w:p w14:paraId="6E12115F" w14:textId="63280BC9">
      <w:pPr>
        <w:pBdr/>
        <w:spacing/>
        <w:ind/>
        <w:rPr>
          <w:lang w:val="en-GB"/>
        </w:rPr>
      </w:pPr>
      <w:r>
        <w:rPr>
          <w:lang w:val="en-GB"/>
        </w:rPr>
        <w:t xml:space="preserve">The annotation includes the following attributes:</w:t>
      </w:r>
      <w:r>
        <w:rPr>
          <w:lang w:val="en-GB"/>
        </w:rPr>
      </w:r>
    </w:p>
    <w:p w14:paraId="7C1DAE16" w14:textId="59779A72">
      <w:pPr>
        <w:pStyle w:val="707"/>
        <w:numPr>
          <w:ilvl w:val="0"/>
          <w:numId w:val="3"/>
        </w:numPr>
        <w:pBdr/>
        <w:spacing/>
        <w:ind/>
        <w:rPr>
          <w:b/>
          <w:bCs/>
          <w:lang w:val="en-GB"/>
        </w:rPr>
      </w:pPr>
      <w:r>
        <w:rPr>
          <w:b/>
          <w:bCs/>
          <w:lang w:val="en-GB"/>
        </w:rPr>
        <w:t xml:space="preserve">Entität</w:t>
      </w:r>
      <w:r>
        <w:rPr>
          <w:b/>
          <w:bCs/>
          <w:lang w:val="en-US"/>
        </w:rPr>
        <w:t xml:space="preserve"> (entity)</w:t>
      </w:r>
      <w:r>
        <w:rPr>
          <w:b/>
          <w:bCs/>
          <w:lang w:val="en-GB"/>
        </w:rPr>
      </w:r>
    </w:p>
    <w:p w14:paraId="392E78B7">
      <w:pPr>
        <w:pBdr/>
        <w:spacing/>
        <w:ind w:firstLine="0" w:left="0"/>
        <w:rPr>
          <w:b w:val="0"/>
          <w:bCs w:val="0"/>
        </w:rPr>
      </w:pPr>
      <w:r>
        <w:rPr>
          <w:b w:val="0"/>
          <w:bCs w:val="0"/>
          <w:highlight w:val="none"/>
          <w:lang w:val="en-US"/>
        </w:rPr>
        <w:t xml:space="preserve">The name of the finding described, e.g. “HCC-Herd”.</w:t>
      </w:r>
      <w:r>
        <w:rPr>
          <w:b w:val="0"/>
          <w:bCs w:val="0"/>
          <w:highlight w:val="none"/>
          <w:lang w:val="en-GB" w:bidi="en-GB"/>
        </w:rPr>
      </w:r>
      <w:r>
        <w:rPr>
          <w:b w:val="0"/>
          <w:bCs w:val="0"/>
          <w:highlight w:val="none"/>
          <w:lang w:val="en-GB"/>
        </w:rPr>
      </w:r>
    </w:p>
    <w:p w14:paraId="384BC40B">
      <w:pPr>
        <w:pStyle w:val="707"/>
        <w:numPr>
          <w:ilvl w:val="0"/>
          <w:numId w:val="3"/>
        </w:numPr>
        <w:pBdr/>
        <w:spacing/>
        <w:ind/>
        <w:rPr>
          <w:b/>
          <w:bCs/>
          <w:lang w:val="en-GB"/>
        </w:rPr>
      </w:pPr>
      <w:r>
        <w:rPr>
          <w:b/>
          <w:bCs/>
          <w:lang w:val="en-GB"/>
        </w:rPr>
        <w:t xml:space="preserve">Lokalisation (location)</w:t>
      </w:r>
      <w:r>
        <w:rPr>
          <w:b/>
          <w:bCs/>
          <w:lang w:val="en-GB"/>
        </w:rPr>
      </w:r>
      <w:r/>
    </w:p>
    <w:p w14:paraId="34D52B71" w14:textId="769DC5EF">
      <w:pPr>
        <w:pBdr/>
        <w:spacing/>
        <w:ind/>
        <w:rPr>
          <w:lang w:val="en-GB"/>
        </w:rPr>
      </w:pPr>
      <w:r>
        <w:rPr>
          <w:lang w:val="en-US"/>
        </w:rPr>
        <w:t xml:space="preserve">The anatomical location of the finding</w:t>
      </w:r>
      <w:r>
        <w:rPr>
          <w:lang w:val="en-GB"/>
        </w:rPr>
        <w:t xml:space="preserve">, e.g. “Lebersegment VIII”.</w:t>
      </w:r>
      <w:r>
        <w:rPr>
          <w:lang w:val="en-GB"/>
        </w:rPr>
      </w:r>
    </w:p>
    <w:p w14:paraId="4FFE50DC" w14:textId="22CABA00">
      <w:pPr>
        <w:pStyle w:val="707"/>
        <w:numPr>
          <w:ilvl w:val="0"/>
          <w:numId w:val="3"/>
        </w:numPr>
        <w:pBdr/>
        <w:spacing/>
        <w:ind/>
        <w:rPr>
          <w:b/>
          <w:bCs/>
          <w:lang w:val="en-GB"/>
        </w:rPr>
      </w:pPr>
      <w:r>
        <w:rPr>
          <w:b/>
          <w:bCs/>
          <w:lang w:val="en-GB"/>
        </w:rPr>
        <w:t xml:space="preserve">Befundstatus (finding status)</w:t>
      </w:r>
      <w:r>
        <w:rPr>
          <w:b/>
          <w:bCs/>
          <w:lang w:val="en-GB"/>
        </w:rPr>
      </w:r>
    </w:p>
    <w:tbl>
      <w:tblPr>
        <w:tblStyle w:val="712"/>
        <w:tblW w:w="0" w:type="auto"/>
        <w:tblBorders/>
        <w:tblLook w:val="04A0" w:firstRow="1" w:lastRow="0" w:firstColumn="1" w:lastColumn="0" w:noHBand="0" w:noVBand="1"/>
      </w:tblPr>
      <w:tblGrid>
        <w:gridCol w:w="3681"/>
        <w:gridCol w:w="5381"/>
      </w:tblGrid>
      <w:tr>
        <w:trPr/>
        <w:tc>
          <w:tcPr>
            <w:tcBorders/>
            <w:tcW w:w="3681" w:type="dxa"/>
          </w:tcPr>
          <w:p w14:paraId="3946B181" w14:textId="77777777">
            <w:pPr>
              <w:pBdr/>
              <w:spacing/>
              <w:ind/>
              <w:rPr>
                <w:b/>
                <w:bCs/>
                <w:lang w:val="en-GB"/>
              </w:rPr>
            </w:pPr>
            <w:r>
              <w:rPr>
                <w:b/>
                <w:bCs/>
                <w:lang w:val="en-GB"/>
              </w:rPr>
              <w:t xml:space="preserve">German Term (entered in RadTag)</w:t>
            </w:r>
            <w:r>
              <w:rPr>
                <w:b/>
                <w:bCs/>
                <w:lang w:val="en-GB"/>
              </w:rPr>
            </w:r>
          </w:p>
        </w:tc>
        <w:tc>
          <w:tcPr>
            <w:tcBorders/>
            <w:tcW w:w="5381" w:type="dxa"/>
          </w:tcPr>
          <w:p w14:paraId="68147FD2" w14:textId="77777777">
            <w:pPr>
              <w:pBdr/>
              <w:spacing/>
              <w:ind/>
              <w:rPr>
                <w:b/>
                <w:bCs/>
                <w:lang w:val="en-GB"/>
              </w:rPr>
            </w:pPr>
            <w:r>
              <w:rPr>
                <w:b/>
                <w:bCs/>
                <w:lang w:val="en-GB"/>
              </w:rPr>
              <w:t xml:space="preserve">English Explanation</w:t>
            </w:r>
            <w:r>
              <w:rPr>
                <w:b/>
                <w:bCs/>
                <w:lang w:val="en-GB"/>
              </w:rPr>
            </w:r>
          </w:p>
        </w:tc>
      </w:tr>
      <w:tr>
        <w:trPr/>
        <w:tc>
          <w:tcPr>
            <w:tcBorders/>
            <w:tcW w:w="3681" w:type="dxa"/>
          </w:tcPr>
          <w:p w14:paraId="2DAA5131" w14:textId="4F420776">
            <w:pPr>
              <w:pBdr/>
              <w:spacing/>
              <w:ind/>
              <w:rPr>
                <w:lang w:val="en-GB"/>
              </w:rPr>
            </w:pPr>
            <w:r>
              <w:rPr>
                <w:lang w:val="en-GB"/>
              </w:rPr>
              <w:t xml:space="preserve">Neu aufgetreten</w:t>
            </w:r>
            <w:r>
              <w:rPr>
                <w:lang w:val="en-GB"/>
              </w:rPr>
            </w:r>
          </w:p>
        </w:tc>
        <w:tc>
          <w:tcPr>
            <w:tcBorders/>
            <w:tcW w:w="5381" w:type="dxa"/>
          </w:tcPr>
          <w:p w14:paraId="79F98144" w14:textId="72C9E306">
            <w:pPr>
              <w:pBdr/>
              <w:spacing/>
              <w:ind/>
              <w:rPr>
                <w:lang w:val="en-GB"/>
              </w:rPr>
            </w:pPr>
            <w:r>
              <w:rPr>
                <w:lang w:val="en-GB"/>
              </w:rPr>
              <w:t xml:space="preserve">Newly detected – not described or detectable in the prior study, newly occurred and described in the current study</w:t>
            </w:r>
            <w:r>
              <w:rPr>
                <w:lang w:val="en-GB"/>
              </w:rPr>
            </w:r>
          </w:p>
        </w:tc>
      </w:tr>
      <w:tr>
        <w:trPr/>
        <w:tc>
          <w:tcPr>
            <w:tcBorders/>
            <w:tcW w:w="3681" w:type="dxa"/>
          </w:tcPr>
          <w:p w14:paraId="05025CE7" w14:textId="41A1B657">
            <w:pPr>
              <w:pBdr/>
              <w:spacing/>
              <w:ind/>
              <w:rPr>
                <w:lang w:val="en-GB"/>
              </w:rPr>
            </w:pPr>
            <w:r>
              <w:rPr>
                <w:lang w:val="en-GB"/>
              </w:rPr>
              <w:t xml:space="preserve">Persistierend</w:t>
            </w:r>
            <w:r>
              <w:rPr>
                <w:lang w:val="en-GB"/>
              </w:rPr>
            </w:r>
          </w:p>
        </w:tc>
        <w:tc>
          <w:tcPr>
            <w:tcBorders/>
            <w:tcW w:w="5381" w:type="dxa"/>
          </w:tcPr>
          <w:p w14:paraId="46B2AAA9" w14:textId="76F85402">
            <w:pPr>
              <w:pBdr/>
              <w:spacing/>
              <w:ind/>
              <w:rPr>
                <w:lang w:val="en-GB"/>
              </w:rPr>
            </w:pPr>
            <w:r>
              <w:rPr>
                <w:lang w:val="en-GB"/>
              </w:rPr>
              <w:t xml:space="preserve">Persistent – already present before and still detectable now</w:t>
            </w:r>
            <w:r>
              <w:rPr>
                <w:lang w:val="en-US"/>
              </w:rPr>
              <w:t xml:space="preserve">.</w:t>
            </w:r>
            <w:r>
              <w:rPr>
                <w:lang w:val="en-GB"/>
              </w:rPr>
            </w:r>
          </w:p>
        </w:tc>
      </w:tr>
      <w:tr>
        <w:trPr/>
        <w:tc>
          <w:tcPr>
            <w:tcBorders/>
            <w:tcW w:w="3681" w:type="dxa"/>
          </w:tcPr>
          <w:p w14:paraId="20823EE8" w14:textId="46C4640D">
            <w:pPr>
              <w:pBdr/>
              <w:spacing/>
              <w:ind/>
              <w:rPr>
                <w:lang w:val="en-GB"/>
              </w:rPr>
            </w:pPr>
            <w:r>
              <w:rPr>
                <w:lang w:val="en-GB"/>
              </w:rPr>
              <w:t xml:space="preserve">Nicht mehr n</w:t>
            </w:r>
            <w:r>
              <w:rPr>
                <w:lang w:val="en-US"/>
              </w:rPr>
              <w:t xml:space="preserve">a</w:t>
            </w:r>
            <w:r>
              <w:rPr>
                <w:lang w:val="en-GB"/>
              </w:rPr>
              <w:t xml:space="preserve">chweisbar</w:t>
            </w:r>
            <w:r>
              <w:rPr>
                <w:lang w:val="en-GB"/>
              </w:rPr>
            </w:r>
          </w:p>
        </w:tc>
        <w:tc>
          <w:tcPr>
            <w:tcBorders/>
            <w:tcW w:w="5381" w:type="dxa"/>
          </w:tcPr>
          <w:p w14:paraId="3FB420F9" w14:textId="26EB452B">
            <w:pPr>
              <w:pBdr/>
              <w:spacing/>
              <w:ind/>
              <w:rPr>
                <w:lang w:val="en-GB"/>
              </w:rPr>
            </w:pPr>
            <w:r>
              <w:rPr>
                <w:lang w:val="en-GB"/>
              </w:rPr>
              <w:t xml:space="preserve">No longer detectable – not detectable in the current study.</w:t>
            </w:r>
            <w:r>
              <w:rPr>
                <w:lang w:val="en-US"/>
              </w:rPr>
              <w:t xml:space="preserve"> Explicit statement of absence is required.</w:t>
            </w:r>
            <w:r>
              <w:rPr>
                <w:lang w:val="en-GB"/>
              </w:rPr>
            </w:r>
          </w:p>
        </w:tc>
      </w:tr>
      <w:tr>
        <w:trPr/>
        <w:tc>
          <w:tcPr>
            <w:tcBorders/>
            <w:tcW w:w="3681" w:type="dxa"/>
          </w:tcPr>
          <w:p w14:paraId="01EDCF62" w14:textId="2FC113BC">
            <w:pPr>
              <w:pBdr/>
              <w:spacing/>
              <w:ind/>
              <w:rPr>
                <w:lang w:val="en-GB"/>
              </w:rPr>
            </w:pPr>
            <w:r>
              <w:rPr>
                <w:lang w:val="en-GB"/>
              </w:rPr>
              <w:t xml:space="preserve">Nicht beurteilbar</w:t>
            </w:r>
            <w:r>
              <w:rPr>
                <w:lang w:val="en-GB"/>
              </w:rPr>
            </w:r>
          </w:p>
        </w:tc>
        <w:tc>
          <w:tcPr>
            <w:tcBorders/>
            <w:tcW w:w="5381" w:type="dxa"/>
          </w:tcPr>
          <w:p w14:paraId="1B399987" w14:textId="0181DFB2">
            <w:pPr>
              <w:pBdr/>
              <w:spacing/>
              <w:ind/>
              <w:rPr>
                <w:lang w:val="en-GB"/>
              </w:rPr>
            </w:pPr>
            <w:r>
              <w:rPr>
                <w:lang w:val="en-GB"/>
              </w:rPr>
              <w:t xml:space="preserve">Not assessable – status cannot be reliably assessed.</w:t>
            </w:r>
            <w:r>
              <w:rPr>
                <w:lang w:val="en-US"/>
              </w:rPr>
              <w:t xml:space="preserve"> That includes findings that are not mentioned.</w:t>
            </w:r>
            <w:r>
              <w:rPr>
                <w:lang w:val="en-GB"/>
              </w:rPr>
            </w:r>
          </w:p>
        </w:tc>
      </w:tr>
    </w:tbl>
    <w:p w14:paraId="1C583E5B" w14:textId="4ADEDDD5">
      <w:pPr>
        <w:pBdr/>
        <w:spacing/>
        <w:ind/>
        <w:rPr>
          <w:lang w:val="en-GB"/>
        </w:rPr>
      </w:pPr>
      <w:r>
        <w:rPr>
          <w:lang w:val="en-GB"/>
        </w:rPr>
      </w:r>
      <w:r>
        <w:rPr>
          <w:lang w:val="en-GB"/>
        </w:rPr>
      </w:r>
    </w:p>
    <w:p w14:paraId="6AB50790" w14:textId="683ED382">
      <w:pPr>
        <w:pStyle w:val="707"/>
        <w:numPr>
          <w:ilvl w:val="0"/>
          <w:numId w:val="3"/>
        </w:numPr>
        <w:pBdr/>
        <w:spacing/>
        <w:ind/>
        <w:rPr>
          <w:b/>
          <w:bCs/>
          <w:lang w:val="en-GB"/>
        </w:rPr>
      </w:pPr>
      <w:r>
        <w:rPr>
          <w:b/>
          <w:bCs/>
          <w:lang w:val="en-GB"/>
        </w:rPr>
        <w:t xml:space="preserve">Verlaufsrichtung (direction of change)</w:t>
      </w:r>
      <w:r>
        <w:rPr>
          <w:b/>
          <w:bCs/>
          <w:lang w:val="en-GB"/>
        </w:rPr>
      </w:r>
    </w:p>
    <w:tbl>
      <w:tblPr>
        <w:tblStyle w:val="712"/>
        <w:tblW w:w="0" w:type="auto"/>
        <w:tblBorders/>
        <w:tblLook w:val="04A0" w:firstRow="1" w:lastRow="0" w:firstColumn="1" w:lastColumn="0" w:noHBand="0" w:noVBand="1"/>
      </w:tblPr>
      <w:tblGrid>
        <w:gridCol w:w="3681"/>
        <w:gridCol w:w="5381"/>
      </w:tblGrid>
      <w:tr>
        <w:trPr/>
        <w:tc>
          <w:tcPr>
            <w:tcBorders/>
            <w:tcW w:w="3681" w:type="dxa"/>
          </w:tcPr>
          <w:p w14:paraId="66208BEC" w14:textId="77777777">
            <w:pPr>
              <w:pBdr/>
              <w:spacing/>
              <w:ind/>
              <w:rPr>
                <w:b/>
                <w:bCs/>
                <w:lang w:val="en-GB"/>
              </w:rPr>
            </w:pPr>
            <w:r>
              <w:rPr>
                <w:b/>
                <w:bCs/>
                <w:lang w:val="en-GB"/>
              </w:rPr>
              <w:t xml:space="preserve">German Term (entered in RadTag)</w:t>
            </w:r>
            <w:r>
              <w:rPr>
                <w:b/>
                <w:bCs/>
                <w:lang w:val="en-GB"/>
              </w:rPr>
            </w:r>
          </w:p>
        </w:tc>
        <w:tc>
          <w:tcPr>
            <w:tcBorders/>
            <w:tcW w:w="5381" w:type="dxa"/>
          </w:tcPr>
          <w:p w14:paraId="09A4D12D" w14:textId="77777777">
            <w:pPr>
              <w:pBdr/>
              <w:spacing/>
              <w:ind/>
              <w:rPr>
                <w:b/>
                <w:bCs/>
                <w:lang w:val="en-GB"/>
              </w:rPr>
            </w:pPr>
            <w:r>
              <w:rPr>
                <w:b/>
                <w:bCs/>
                <w:lang w:val="en-GB"/>
              </w:rPr>
              <w:t xml:space="preserve">English Explanation</w:t>
            </w:r>
            <w:r>
              <w:rPr>
                <w:b/>
                <w:bCs/>
                <w:lang w:val="en-GB"/>
              </w:rPr>
            </w:r>
          </w:p>
        </w:tc>
      </w:tr>
      <w:tr>
        <w:trPr/>
        <w:tc>
          <w:tcPr>
            <w:tcBorders/>
            <w:tcW w:w="3681" w:type="dxa"/>
          </w:tcPr>
          <w:p w14:paraId="5A2D29B4" w14:textId="7958D5F4">
            <w:pPr>
              <w:pBdr/>
              <w:spacing/>
              <w:ind/>
              <w:rPr>
                <w:lang w:val="en-GB"/>
              </w:rPr>
            </w:pPr>
            <w:r>
              <w:rPr>
                <w:lang w:val="en-GB"/>
              </w:rPr>
              <w:t xml:space="preserve">Unverändert</w:t>
            </w:r>
            <w:r>
              <w:rPr>
                <w:lang w:val="en-GB"/>
              </w:rPr>
            </w:r>
          </w:p>
        </w:tc>
        <w:tc>
          <w:tcPr>
            <w:tcBorders/>
            <w:tcW w:w="5381" w:type="dxa"/>
          </w:tcPr>
          <w:p w14:paraId="11A5B6E2" w14:textId="7016DA78">
            <w:pPr>
              <w:pBdr/>
              <w:spacing/>
              <w:ind/>
              <w:rPr>
                <w:lang w:val="en-GB"/>
              </w:rPr>
            </w:pPr>
            <w:r>
              <w:rPr>
                <w:lang w:val="en-GB"/>
              </w:rPr>
              <w:t xml:space="preserve">Unchanged</w:t>
            </w:r>
            <w:r>
              <w:rPr>
                <w:lang w:val="en-GB"/>
              </w:rPr>
            </w:r>
          </w:p>
        </w:tc>
      </w:tr>
      <w:tr>
        <w:trPr/>
        <w:tc>
          <w:tcPr>
            <w:tcBorders/>
            <w:tcW w:w="3681" w:type="dxa"/>
          </w:tcPr>
          <w:p w14:paraId="6B504F39" w14:textId="5FFEF5F7">
            <w:pPr>
              <w:pBdr/>
              <w:spacing/>
              <w:ind/>
              <w:rPr>
                <w:lang w:val="en-GB"/>
              </w:rPr>
            </w:pPr>
            <w:r>
              <w:rPr>
                <w:lang w:val="en-GB"/>
              </w:rPr>
              <w:t xml:space="preserve">Zunehmend</w:t>
            </w:r>
            <w:r>
              <w:rPr>
                <w:lang w:val="en-GB"/>
              </w:rPr>
            </w:r>
          </w:p>
        </w:tc>
        <w:tc>
          <w:tcPr>
            <w:tcBorders/>
            <w:tcW w:w="5381" w:type="dxa"/>
          </w:tcPr>
          <w:p w14:paraId="02FC2350" w14:textId="6AE8E3A4">
            <w:pPr>
              <w:pBdr/>
              <w:spacing/>
              <w:ind/>
              <w:rPr>
                <w:lang w:val="en-GB"/>
              </w:rPr>
            </w:pPr>
            <w:r>
              <w:rPr>
                <w:lang w:val="en-GB"/>
              </w:rPr>
              <w:t xml:space="preserve">Increasing</w:t>
            </w:r>
            <w:r>
              <w:rPr>
                <w:lang w:val="en-GB"/>
              </w:rPr>
            </w:r>
          </w:p>
        </w:tc>
      </w:tr>
      <w:tr>
        <w:trPr/>
        <w:tc>
          <w:tcPr>
            <w:tcBorders/>
            <w:tcW w:w="3681" w:type="dxa"/>
          </w:tcPr>
          <w:p w14:paraId="69336939" w14:textId="47E0B2E4">
            <w:pPr>
              <w:pBdr/>
              <w:spacing/>
              <w:ind/>
              <w:rPr>
                <w:lang w:val="en-GB"/>
              </w:rPr>
            </w:pPr>
            <w:r>
              <w:rPr>
                <w:lang w:val="en-GB"/>
              </w:rPr>
              <w:t xml:space="preserve">Rückläufig</w:t>
            </w:r>
            <w:r>
              <w:rPr>
                <w:lang w:val="en-GB"/>
              </w:rPr>
            </w:r>
          </w:p>
        </w:tc>
        <w:tc>
          <w:tcPr>
            <w:tcBorders/>
            <w:tcW w:w="5381" w:type="dxa"/>
          </w:tcPr>
          <w:p w14:paraId="7458965B" w14:textId="3DEED455">
            <w:pPr>
              <w:pBdr/>
              <w:spacing/>
              <w:ind/>
              <w:rPr>
                <w:lang w:val="en-GB"/>
              </w:rPr>
            </w:pPr>
            <w:r>
              <w:rPr>
                <w:lang w:val="en-GB"/>
              </w:rPr>
              <w:t xml:space="preserve">Decreasing</w:t>
            </w:r>
            <w:r>
              <w:rPr>
                <w:lang w:val="en-GB"/>
              </w:rPr>
            </w:r>
          </w:p>
        </w:tc>
      </w:tr>
      <w:tr>
        <w:trPr/>
        <w:tc>
          <w:tcPr>
            <w:tcBorders/>
            <w:tcW w:w="3681" w:type="dxa"/>
          </w:tcPr>
          <w:p w14:paraId="2F2A33FC" w14:textId="084EC88E">
            <w:pPr>
              <w:pBdr/>
              <w:spacing/>
              <w:ind/>
              <w:rPr>
                <w:lang w:val="en-GB"/>
              </w:rPr>
            </w:pPr>
            <w:r>
              <w:rPr>
                <w:lang w:val="en-GB"/>
              </w:rPr>
              <w:t xml:space="preserve">Gemischt</w:t>
            </w:r>
            <w:r>
              <w:rPr>
                <w:lang w:val="en-GB"/>
              </w:rPr>
            </w:r>
          </w:p>
        </w:tc>
        <w:tc>
          <w:tcPr>
            <w:tcBorders/>
            <w:tcW w:w="5381" w:type="dxa"/>
          </w:tcPr>
          <w:p w14:paraId="01191CD3" w14:textId="5E4D5BB0">
            <w:pPr>
              <w:pBdr/>
              <w:spacing/>
              <w:ind/>
              <w:rPr>
                <w:lang w:val="en-GB"/>
              </w:rPr>
            </w:pPr>
            <w:r>
              <w:rPr>
                <w:lang w:val="en-GB"/>
              </w:rPr>
              <w:t xml:space="preserve">Mixed – different components of the same finding change in opposite directions</w:t>
            </w:r>
            <w:r>
              <w:rPr>
                <w:lang w:val="en-GB"/>
              </w:rPr>
            </w:r>
          </w:p>
        </w:tc>
      </w:tr>
      <w:tr>
        <w:trPr/>
        <w:tc>
          <w:tcPr>
            <w:tcBorders/>
            <w:tcW w:w="3681" w:type="dxa"/>
          </w:tcPr>
          <w:p w14:paraId="0DA1AC78" w14:textId="76BB2174">
            <w:pPr>
              <w:pBdr/>
              <w:spacing/>
              <w:ind/>
              <w:rPr>
                <w:lang w:val="en-GB"/>
              </w:rPr>
            </w:pPr>
            <w:r>
              <w:rPr>
                <w:lang w:val="en-GB"/>
              </w:rPr>
              <w:t xml:space="preserve">Unklar</w:t>
            </w:r>
            <w:r>
              <w:rPr>
                <w:lang w:val="en-GB"/>
              </w:rPr>
            </w:r>
          </w:p>
        </w:tc>
        <w:tc>
          <w:tcPr>
            <w:tcBorders/>
            <w:tcW w:w="5381" w:type="dxa"/>
          </w:tcPr>
          <w:p w14:paraId="0E623C62" w14:textId="17E62E6B">
            <w:pPr>
              <w:pBdr/>
              <w:spacing/>
              <w:ind/>
              <w:rPr>
                <w:highlight w:val="none"/>
                <w:lang w:val="en-US"/>
              </w:rPr>
            </w:pPr>
            <w:r>
              <w:rPr>
                <w:lang w:val="en-GB"/>
              </w:rPr>
              <w:t xml:space="preserve">Indeterminate</w:t>
            </w:r>
            <w:r>
              <w:rPr>
                <w:highlight w:val="none"/>
                <w:lang w:val="en-GB"/>
              </w:rPr>
            </w:r>
            <w:r>
              <w:rPr>
                <w:highlight w:val="none"/>
                <w:lang w:val="en-US"/>
              </w:rPr>
            </w:r>
          </w:p>
        </w:tc>
      </w:tr>
    </w:tbl>
    <w:p w14:paraId="3ECDC9F2" w14:textId="77777777">
      <w:pPr>
        <w:pBdr/>
        <w:spacing/>
        <w:ind/>
        <w:rPr>
          <w:lang w:val="en-GB"/>
        </w:rPr>
      </w:pPr>
      <w:r>
        <w:rPr>
          <w:lang w:val="en-GB"/>
        </w:rPr>
      </w:r>
      <w:r>
        <w:rPr>
          <w:lang w:val="en-GB"/>
        </w:rPr>
      </w:r>
    </w:p>
    <w:p w14:paraId="43143314" w14:textId="38CE5C97">
      <w:pPr>
        <w:pStyle w:val="707"/>
        <w:numPr>
          <w:ilvl w:val="0"/>
          <w:numId w:val="3"/>
        </w:numPr>
        <w:pBdr/>
        <w:spacing/>
        <w:ind/>
        <w:rPr>
          <w:b/>
          <w:bCs/>
          <w:lang w:val="en-GB"/>
        </w:rPr>
      </w:pPr>
      <w:r>
        <w:rPr>
          <w:b/>
          <w:bCs/>
          <w:lang w:val="en-GB"/>
        </w:rPr>
        <w:t xml:space="preserve">Verändertes Merkmal (changed feature)</w:t>
      </w:r>
      <w:r>
        <w:rPr>
          <w:b/>
          <w:bCs/>
          <w:lang w:val="en-GB"/>
        </w:rPr>
      </w:r>
    </w:p>
    <w:tbl>
      <w:tblPr>
        <w:tblStyle w:val="712"/>
        <w:tblW w:w="0" w:type="auto"/>
        <w:tblBorders/>
        <w:tblLook w:val="04A0" w:firstRow="1" w:lastRow="0" w:firstColumn="1" w:lastColumn="0" w:noHBand="0" w:noVBand="1"/>
      </w:tblPr>
      <w:tblGrid>
        <w:gridCol w:w="3681"/>
        <w:gridCol w:w="5381"/>
      </w:tblGrid>
      <w:tr>
        <w:trPr/>
        <w:tc>
          <w:tcPr>
            <w:tcBorders/>
            <w:tcW w:w="3681" w:type="dxa"/>
          </w:tcPr>
          <w:p w14:paraId="0ACA51FC" w14:textId="77777777">
            <w:pPr>
              <w:pBdr/>
              <w:spacing/>
              <w:ind/>
              <w:rPr>
                <w:b/>
                <w:bCs/>
                <w:lang w:val="en-GB"/>
              </w:rPr>
            </w:pPr>
            <w:r>
              <w:rPr>
                <w:b/>
                <w:bCs/>
                <w:lang w:val="en-GB"/>
              </w:rPr>
              <w:t xml:space="preserve">German Term (entered in RadTag)</w:t>
            </w:r>
            <w:r>
              <w:rPr>
                <w:b/>
                <w:bCs/>
                <w:lang w:val="en-GB"/>
              </w:rPr>
            </w:r>
          </w:p>
        </w:tc>
        <w:tc>
          <w:tcPr>
            <w:tcBorders/>
            <w:tcW w:w="5381" w:type="dxa"/>
          </w:tcPr>
          <w:p w14:paraId="0EB7F1F6" w14:textId="77777777">
            <w:pPr>
              <w:pBdr/>
              <w:spacing/>
              <w:ind/>
              <w:rPr>
                <w:b/>
                <w:bCs/>
                <w:lang w:val="en-GB"/>
              </w:rPr>
            </w:pPr>
            <w:r>
              <w:rPr>
                <w:b/>
                <w:bCs/>
                <w:lang w:val="en-GB"/>
              </w:rPr>
              <w:t xml:space="preserve">English Explanation</w:t>
            </w:r>
            <w:r>
              <w:rPr>
                <w:b/>
                <w:bCs/>
                <w:lang w:val="en-GB"/>
              </w:rPr>
            </w:r>
          </w:p>
        </w:tc>
      </w:tr>
      <w:tr>
        <w:trPr/>
        <w:tc>
          <w:tcPr>
            <w:tcBorders/>
            <w:tcW w:w="3681" w:type="dxa"/>
          </w:tcPr>
          <w:p w14:paraId="0531F341" w14:textId="516D800F">
            <w:pPr>
              <w:pBdr/>
              <w:spacing/>
              <w:ind/>
              <w:rPr>
                <w:lang w:val="en-GB"/>
              </w:rPr>
            </w:pPr>
            <w:r>
              <w:rPr>
                <w:lang w:val="en-GB"/>
              </w:rPr>
              <w:t xml:space="preserve">Größe</w:t>
            </w:r>
            <w:r>
              <w:rPr>
                <w:lang w:val="en-GB"/>
              </w:rPr>
            </w:r>
          </w:p>
        </w:tc>
        <w:tc>
          <w:tcPr>
            <w:tcBorders/>
            <w:tcW w:w="5381" w:type="dxa"/>
          </w:tcPr>
          <w:p w14:paraId="684DA56E" w14:textId="5A204570">
            <w:pPr>
              <w:pBdr/>
              <w:spacing/>
              <w:ind/>
              <w:rPr>
                <w:lang w:val="en-GB"/>
              </w:rPr>
            </w:pPr>
            <w:r>
              <w:rPr>
                <w:lang w:val="en-GB"/>
              </w:rPr>
              <w:t xml:space="preserve">Size</w:t>
            </w:r>
            <w:r>
              <w:rPr>
                <w:lang w:val="en-GB"/>
              </w:rPr>
            </w:r>
          </w:p>
        </w:tc>
      </w:tr>
      <w:tr>
        <w:trPr/>
        <w:tc>
          <w:tcPr>
            <w:tcBorders/>
            <w:tcW w:w="3681" w:type="dxa"/>
          </w:tcPr>
          <w:p w14:paraId="256F1329" w14:textId="3AB3A5DE">
            <w:pPr>
              <w:pBdr/>
              <w:spacing/>
              <w:ind/>
              <w:rPr>
                <w:lang w:val="en-GB"/>
              </w:rPr>
            </w:pPr>
            <w:r>
              <w:rPr>
                <w:lang w:val="en-GB"/>
              </w:rPr>
              <w:t xml:space="preserve">A</w:t>
            </w:r>
            <w:r>
              <w:rPr>
                <w:lang w:val="en-US"/>
              </w:rPr>
              <w:t xml:space="preserve">n</w:t>
            </w:r>
            <w:r>
              <w:rPr>
                <w:lang w:val="en-GB"/>
              </w:rPr>
              <w:t xml:space="preserve">zahl</w:t>
            </w:r>
            <w:r>
              <w:rPr>
                <w:lang w:val="en-GB"/>
              </w:rPr>
            </w:r>
          </w:p>
        </w:tc>
        <w:tc>
          <w:tcPr>
            <w:tcBorders/>
            <w:tcW w:w="5381" w:type="dxa"/>
          </w:tcPr>
          <w:p w14:paraId="313EC990" w14:textId="6458F0DE">
            <w:pPr>
              <w:pBdr/>
              <w:spacing/>
              <w:ind/>
              <w:rPr>
                <w:lang w:val="en-GB"/>
              </w:rPr>
            </w:pPr>
            <w:r>
              <w:rPr>
                <w:lang w:val="en-GB"/>
              </w:rPr>
              <w:t xml:space="preserve">Count</w:t>
            </w:r>
            <w:r>
              <w:rPr>
                <w:lang w:val="en-GB"/>
              </w:rPr>
            </w:r>
          </w:p>
        </w:tc>
      </w:tr>
      <w:tr>
        <w:trPr/>
        <w:tc>
          <w:tcPr>
            <w:tcBorders/>
            <w:tcW w:w="3681" w:type="dxa"/>
          </w:tcPr>
          <w:p w14:paraId="0BAB3299" w14:textId="598FD50A">
            <w:pPr>
              <w:pBdr/>
              <w:spacing/>
              <w:ind/>
              <w:rPr>
                <w:lang w:val="en-GB"/>
              </w:rPr>
            </w:pPr>
            <w:r>
              <w:rPr>
                <w:lang w:val="en-GB"/>
              </w:rPr>
              <w:t xml:space="preserve">Dichte</w:t>
            </w:r>
            <w:r>
              <w:rPr>
                <w:lang w:val="en-GB"/>
              </w:rPr>
            </w:r>
          </w:p>
        </w:tc>
        <w:tc>
          <w:tcPr>
            <w:tcBorders/>
            <w:tcW w:w="5381" w:type="dxa"/>
          </w:tcPr>
          <w:p w14:paraId="41C0CC08" w14:textId="295F68C2">
            <w:pPr>
              <w:pBdr/>
              <w:spacing/>
              <w:ind/>
              <w:rPr>
                <w:lang w:val="en-GB"/>
              </w:rPr>
            </w:pPr>
            <w:r>
              <w:rPr>
                <w:lang w:val="en-GB"/>
              </w:rPr>
              <w:t xml:space="preserve">Density</w:t>
            </w:r>
            <w:r>
              <w:rPr>
                <w:lang w:val="en-GB"/>
              </w:rPr>
            </w:r>
          </w:p>
        </w:tc>
      </w:tr>
      <w:tr>
        <w:trPr/>
        <w:tc>
          <w:tcPr>
            <w:tcBorders/>
            <w:tcW w:w="3681" w:type="dxa"/>
          </w:tcPr>
          <w:p w14:paraId="30E26F3B" w14:textId="78C063C7">
            <w:pPr>
              <w:pBdr/>
              <w:spacing/>
              <w:ind/>
              <w:rPr>
                <w:lang w:val="en-GB"/>
              </w:rPr>
            </w:pPr>
            <w:r>
              <w:rPr>
                <w:lang w:val="en-GB"/>
              </w:rPr>
              <w:t xml:space="preserve">Solider Anteil</w:t>
            </w:r>
            <w:r>
              <w:rPr>
                <w:lang w:val="en-GB"/>
              </w:rPr>
            </w:r>
          </w:p>
        </w:tc>
        <w:tc>
          <w:tcPr>
            <w:tcBorders/>
            <w:tcW w:w="5381" w:type="dxa"/>
          </w:tcPr>
          <w:p w14:paraId="79D1FD87" w14:textId="1E72C27D">
            <w:pPr>
              <w:pBdr/>
              <w:spacing/>
              <w:ind/>
              <w:rPr>
                <w:lang w:val="en-GB"/>
              </w:rPr>
            </w:pPr>
            <w:r>
              <w:rPr>
                <w:lang w:val="en-GB"/>
              </w:rPr>
              <w:t xml:space="preserve">Solid component</w:t>
            </w:r>
            <w:r>
              <w:rPr>
                <w:lang w:val="en-GB"/>
              </w:rPr>
            </w:r>
          </w:p>
        </w:tc>
      </w:tr>
      <w:tr>
        <w:trPr/>
        <w:tc>
          <w:tcPr>
            <w:tcBorders/>
            <w:tcW w:w="3681" w:type="dxa"/>
          </w:tcPr>
          <w:p w14:paraId="525A5BAD" w14:textId="44D9C0C1">
            <w:pPr>
              <w:pBdr/>
              <w:spacing/>
              <w:ind/>
              <w:rPr>
                <w:lang w:val="en-GB"/>
              </w:rPr>
            </w:pPr>
            <w:r>
              <w:rPr>
                <w:lang w:val="en-GB"/>
              </w:rPr>
              <w:t xml:space="preserve">Ausdehnung</w:t>
            </w:r>
            <w:r>
              <w:rPr>
                <w:lang w:val="en-GB"/>
              </w:rPr>
            </w:r>
          </w:p>
        </w:tc>
        <w:tc>
          <w:tcPr>
            <w:tcBorders/>
            <w:tcW w:w="5381" w:type="dxa"/>
          </w:tcPr>
          <w:p w14:paraId="6F7BCEB7" w14:textId="340F442F">
            <w:pPr>
              <w:pBdr/>
              <w:spacing/>
              <w:ind/>
              <w:rPr>
                <w:lang w:val="en-GB"/>
              </w:rPr>
            </w:pPr>
            <w:r>
              <w:rPr>
                <w:lang w:val="en-GB"/>
              </w:rPr>
              <w:t xml:space="preserve">Extent</w:t>
            </w:r>
            <w:r>
              <w:rPr>
                <w:lang w:val="en-GB"/>
              </w:rPr>
            </w:r>
          </w:p>
        </w:tc>
      </w:tr>
      <w:tr>
        <w:trPr/>
        <w:tc>
          <w:tcPr>
            <w:tcBorders/>
            <w:tcW w:w="3681" w:type="dxa"/>
          </w:tcPr>
          <w:p w14:paraId="0B429FD5" w14:textId="7478BF40">
            <w:pPr>
              <w:pBdr/>
              <w:spacing/>
              <w:ind/>
              <w:rPr>
                <w:lang w:val="en-GB"/>
              </w:rPr>
            </w:pPr>
            <w:r>
              <w:rPr>
                <w:lang w:val="en-GB"/>
              </w:rPr>
              <w:t xml:space="preserve">Morphologie</w:t>
            </w:r>
            <w:r>
              <w:rPr>
                <w:lang w:val="en-GB"/>
              </w:rPr>
            </w:r>
          </w:p>
        </w:tc>
        <w:tc>
          <w:tcPr>
            <w:tcBorders/>
            <w:tcW w:w="5381" w:type="dxa"/>
          </w:tcPr>
          <w:p w14:paraId="15FA74BD" w14:textId="5D7F61AC">
            <w:pPr>
              <w:pBdr/>
              <w:spacing/>
              <w:ind/>
              <w:rPr>
                <w:lang w:val="en-GB"/>
              </w:rPr>
            </w:pPr>
            <w:r>
              <w:rPr>
                <w:lang w:val="en-GB"/>
              </w:rPr>
              <w:t xml:space="preserve">Morphology</w:t>
            </w:r>
            <w:r>
              <w:rPr>
                <w:lang w:val="en-GB"/>
              </w:rPr>
            </w:r>
          </w:p>
        </w:tc>
      </w:tr>
      <w:tr>
        <w:trPr/>
        <w:tc>
          <w:tcPr>
            <w:tcBorders/>
            <w:tcW w:w="3681" w:type="dxa"/>
          </w:tcPr>
          <w:p w14:paraId="0651507B" w14:textId="469543DE">
            <w:pPr>
              <w:pBdr/>
              <w:spacing/>
              <w:ind/>
              <w:rPr>
                <w:lang w:val="en-GB"/>
              </w:rPr>
            </w:pPr>
            <w:r>
              <w:rPr>
                <w:lang w:val="en-GB"/>
              </w:rPr>
              <w:t xml:space="preserve">Verteilung/Lokalisation</w:t>
            </w:r>
            <w:r>
              <w:rPr>
                <w:lang w:val="en-GB"/>
              </w:rPr>
            </w:r>
          </w:p>
        </w:tc>
        <w:tc>
          <w:tcPr>
            <w:tcBorders/>
            <w:tcW w:w="5381" w:type="dxa"/>
          </w:tcPr>
          <w:p w14:paraId="78893D2C" w14:textId="67B47D9F">
            <w:pPr>
              <w:pBdr/>
              <w:spacing/>
              <w:ind/>
              <w:rPr>
                <w:lang w:val="en-GB"/>
              </w:rPr>
            </w:pPr>
            <w:r>
              <w:rPr>
                <w:lang w:val="en-GB"/>
              </w:rPr>
              <w:t xml:space="preserve">Distribution</w:t>
            </w:r>
            <w:r>
              <w:rPr>
                <w:lang w:val="en-GB"/>
              </w:rPr>
            </w:r>
          </w:p>
        </w:tc>
      </w:tr>
      <w:tr>
        <w:trPr/>
        <w:tc>
          <w:tcPr>
            <w:tcBorders/>
            <w:tcW w:w="3681" w:type="dxa"/>
          </w:tcPr>
          <w:p w14:paraId="29C6D64E" w14:textId="6993C276">
            <w:pPr>
              <w:pBdr/>
              <w:spacing/>
              <w:ind/>
              <w:rPr>
                <w:lang w:val="en-GB"/>
              </w:rPr>
            </w:pPr>
            <w:r>
              <w:rPr>
                <w:lang w:val="en-GB"/>
              </w:rPr>
              <w:t xml:space="preserve">Kontrastmittelaufnahme</w:t>
            </w:r>
            <w:r>
              <w:rPr>
                <w:lang w:val="en-GB"/>
              </w:rPr>
            </w:r>
          </w:p>
        </w:tc>
        <w:tc>
          <w:tcPr>
            <w:tcBorders/>
            <w:tcW w:w="5381" w:type="dxa"/>
          </w:tcPr>
          <w:p w14:paraId="4C183C69" w14:textId="617B6346">
            <w:pPr>
              <w:pBdr/>
              <w:spacing/>
              <w:ind/>
              <w:rPr>
                <w:lang w:val="en-GB"/>
              </w:rPr>
            </w:pPr>
            <w:r>
              <w:rPr>
                <w:lang w:val="en-GB"/>
              </w:rPr>
              <w:t xml:space="preserve">Enhancement</w:t>
            </w:r>
            <w:r>
              <w:rPr>
                <w:lang w:val="en-GB"/>
              </w:rPr>
            </w:r>
          </w:p>
        </w:tc>
      </w:tr>
      <w:tr>
        <w:trPr/>
        <w:tc>
          <w:tcPr>
            <w:tcBorders/>
            <w:tcW w:w="3681" w:type="dxa"/>
          </w:tcPr>
          <w:p w14:paraId="48AD4181" w14:textId="23DDD811">
            <w:pPr>
              <w:pBdr/>
              <w:spacing/>
              <w:ind/>
              <w:rPr>
                <w:lang w:val="en-GB"/>
              </w:rPr>
            </w:pPr>
            <w:r>
              <w:rPr>
                <w:lang w:val="en-GB"/>
              </w:rPr>
              <w:t xml:space="preserve">Begleitbefund</w:t>
            </w:r>
            <w:r>
              <w:rPr>
                <w:lang w:val="en-GB"/>
              </w:rPr>
            </w:r>
          </w:p>
        </w:tc>
        <w:tc>
          <w:tcPr>
            <w:tcBorders/>
            <w:tcW w:w="5381" w:type="dxa"/>
          </w:tcPr>
          <w:p w14:paraId="39B6CA5B" w14:textId="6E97B14A">
            <w:pPr>
              <w:pBdr/>
              <w:spacing/>
              <w:ind/>
              <w:rPr>
                <w:lang w:val="en-GB"/>
              </w:rPr>
            </w:pPr>
            <w:r>
              <w:rPr>
                <w:lang w:val="en-GB"/>
              </w:rPr>
              <w:t xml:space="preserve">Associated finding</w:t>
            </w:r>
            <w:r>
              <w:rPr>
                <w:lang w:val="en-GB"/>
              </w:rPr>
            </w:r>
          </w:p>
        </w:tc>
      </w:tr>
      <w:tr>
        <w:trPr/>
        <w:tc>
          <w:tcPr>
            <w:tcBorders/>
            <w:tcW w:w="3681" w:type="dxa"/>
          </w:tcPr>
          <w:p w14:paraId="03B6E403" w14:textId="0F7DB61E">
            <w:pPr>
              <w:pBdr/>
              <w:spacing/>
              <w:ind/>
              <w:rPr>
                <w:lang w:val="en-GB"/>
              </w:rPr>
            </w:pPr>
            <w:r>
              <w:rPr>
                <w:lang w:val="en-GB"/>
              </w:rPr>
              <w:t xml:space="preserve">Kein spezifisches Merkmal</w:t>
            </w:r>
            <w:r>
              <w:rPr>
                <w:lang w:val="en-GB"/>
              </w:rPr>
            </w:r>
          </w:p>
        </w:tc>
        <w:tc>
          <w:tcPr>
            <w:tcBorders/>
            <w:tcW w:w="5381" w:type="dxa"/>
          </w:tcPr>
          <w:p w14:paraId="1A560655" w14:textId="36972557">
            <w:pPr>
              <w:pBdr/>
              <w:spacing/>
              <w:ind/>
              <w:rPr>
                <w:lang w:val="en-GB"/>
              </w:rPr>
            </w:pPr>
            <w:r>
              <w:rPr>
                <w:lang w:val="en-GB"/>
              </w:rPr>
              <w:t xml:space="preserve">None specified</w:t>
            </w:r>
            <w:r>
              <w:rPr>
                <w:lang w:val="en-GB"/>
              </w:rPr>
            </w:r>
          </w:p>
        </w:tc>
      </w:tr>
    </w:tbl>
    <w:p w14:paraId="6C6ED343" w14:textId="77777777">
      <w:pPr>
        <w:pBdr/>
        <w:spacing/>
        <w:ind/>
        <w:rPr>
          <w:lang w:val="en-GB"/>
        </w:rPr>
      </w:pPr>
      <w:r>
        <w:rPr>
          <w:lang w:val="en-GB"/>
        </w:rPr>
      </w:r>
      <w:r>
        <w:rPr>
          <w:lang w:val="en-GB"/>
        </w:rPr>
      </w:r>
    </w:p>
    <w:p w14:paraId="3CECD418" w14:textId="50205C7B">
      <w:pPr>
        <w:pStyle w:val="707"/>
        <w:numPr>
          <w:ilvl w:val="0"/>
          <w:numId w:val="3"/>
        </w:numPr>
        <w:pBdr/>
        <w:spacing/>
        <w:ind/>
        <w:rPr>
          <w:b/>
          <w:bCs/>
          <w:lang w:val="en-GB"/>
        </w:rPr>
      </w:pPr>
      <w:r>
        <w:rPr>
          <w:b/>
          <w:bCs/>
          <w:lang w:val="en-GB"/>
        </w:rPr>
        <w:t xml:space="preserve">Delta/</w:t>
      </w:r>
      <w:r>
        <w:rPr>
          <w:b/>
          <w:bCs/>
          <w:lang w:val="en-US"/>
        </w:rPr>
        <w:t xml:space="preserve">Beleg</w:t>
      </w:r>
      <w:r>
        <w:rPr>
          <w:b/>
          <w:bCs/>
          <w:lang w:val="en-GB"/>
        </w:rPr>
        <w:t xml:space="preserve"> (delta/evidence)</w:t>
      </w:r>
      <w:r>
        <w:rPr>
          <w:b/>
          <w:bCs/>
          <w:lang w:val="en-GB"/>
        </w:rPr>
      </w:r>
    </w:p>
    <w:p w14:paraId="385F0193" w14:textId="139E9A68">
      <w:pPr>
        <w:pBdr/>
        <w:spacing/>
        <w:ind/>
        <w:rPr>
          <w:lang w:val="en-GB"/>
        </w:rPr>
      </w:pPr>
      <w:r>
        <w:t xml:space="preserve">Numeric values are given as directly as possible and embedded in a full sentence, e.g.</w:t>
      </w:r>
      <w:r>
        <w:t xml:space="preserve">,</w:t>
      </w:r>
      <w:r>
        <w:t xml:space="preserve"> “Der Herd hat im Vergleich zur Voruntersuchung an Größe zugenommen, von 8 mm auf 11 mm.</w:t>
      </w:r>
      <w:r>
        <w:t xml:space="preserve">”</w:t>
      </w:r>
      <w:r>
        <w:t xml:space="preserve"> </w:t>
      </w:r>
      <w:r>
        <w:rPr>
          <w:lang w:val="en-GB"/>
        </w:rPr>
        <w:t xml:space="preserve">Here</w:t>
      </w:r>
      <w:r>
        <w:rPr>
          <w:lang w:val="en-GB"/>
        </w:rPr>
        <w:t xml:space="preserve">,</w:t>
      </w:r>
      <w:r>
        <w:rPr>
          <w:lang w:val="en-GB"/>
        </w:rPr>
        <w:t xml:space="preserve"> no measurements or interpretation</w:t>
      </w:r>
      <w:r>
        <w:rPr>
          <w:lang w:val="en-US"/>
        </w:rPr>
        <w:t xml:space="preserve"> beyond what report provides </w:t>
      </w:r>
      <w:r>
        <w:rPr>
          <w:lang w:val="en-GB"/>
        </w:rPr>
        <w:t xml:space="preserve">shall be placed</w:t>
      </w:r>
      <w:r>
        <w:rPr>
          <w:lang w:val="en-GB"/>
        </w:rPr>
        <w:t xml:space="preserve">, just the paraphrasing of the corresponding </w:t>
      </w:r>
      <w:r>
        <w:rPr>
          <w:lang w:val="en-US"/>
        </w:rPr>
        <w:t xml:space="preserve">content</w:t>
      </w:r>
      <w:r>
        <w:rPr>
          <w:lang w:val="en-US"/>
        </w:rPr>
        <w:t xml:space="preserve"> </w:t>
      </w:r>
      <w:r>
        <w:rPr>
          <w:lang w:val="en-GB"/>
        </w:rPr>
        <w:t xml:space="preserve">from the </w:t>
      </w:r>
      <w:r>
        <w:rPr>
          <w:lang w:val="en-US"/>
        </w:rPr>
        <w:t xml:space="preserve">report</w:t>
      </w:r>
      <w:r>
        <w:rPr>
          <w:lang w:val="en-GB"/>
        </w:rPr>
        <w:t xml:space="preserve">.</w:t>
      </w:r>
      <w:r>
        <w:rPr>
          <w:lang w:val="en-GB"/>
        </w:rPr>
      </w:r>
    </w:p>
    <w:p w14:paraId="5B42B119" w14:textId="5B8F1860">
      <w:pPr>
        <w:pBdr/>
        <w:spacing/>
        <w:ind/>
        <w:rPr>
          <w:lang w:val="en-GB"/>
        </w:rPr>
      </w:pPr>
      <w:r>
        <w:rPr>
          <w:lang w:val="en-GB"/>
        </w:rPr>
        <w:t xml:space="preserve">If </w:t>
      </w:r>
      <w:r>
        <w:rPr>
          <w:lang w:val="en-GB"/>
          <w14:ligatures w14:val="none"/>
        </w:rPr>
        <w:t xml:space="preserve">several studies are done on the same day but with different modalities (CT and MRI, for example), they are treated</w:t>
      </w:r>
      <w:r>
        <w:rPr>
          <w:lang w:val="en-GB"/>
        </w:rPr>
        <w:t xml:space="preserve"> as one finding entry, not several. The evidence text should present both values side by side, without ranking one modality over </w:t>
      </w:r>
      <w:r>
        <w:rPr>
          <w:lang w:val="en-GB"/>
        </w:rPr>
        <w:t xml:space="preserve">the </w:t>
      </w:r>
      <w:r>
        <w:rPr>
          <w:lang w:val="en-GB"/>
        </w:rPr>
        <w:t xml:space="preserve">other. That does not apply if the studies </w:t>
      </w:r>
      <w:r>
        <w:rPr>
          <w:lang w:val="en-GB"/>
          <w14:ligatures w14:val="none"/>
        </w:rPr>
        <w:t xml:space="preserve">were done on different days, or if multiple studies were done on the same day with a clear change in</w:t>
      </w:r>
      <w:r>
        <w:rPr>
          <w:lang w:val="en-GB"/>
        </w:rPr>
        <w:t xml:space="preserve"> the corresponding finding(s). </w:t>
      </w:r>
      <w:r>
        <w:rPr>
          <w:lang w:val="en-GB"/>
        </w:rPr>
      </w:r>
    </w:p>
    <w:p w14:paraId="644C711D" w14:textId="0B5EDA8A">
      <w:pPr>
        <w:pBdr/>
        <w:spacing/>
        <w:ind/>
        <w:rPr>
          <w:lang w:val="en-GB"/>
        </w:rPr>
      </w:pPr>
      <w:r>
        <w:rPr>
          <w:lang w:val="en-GB"/>
          <w14:ligatures w14:val="none"/>
        </w:rPr>
        <w:t xml:space="preserve">If findings from different modalities on the same day conflict, the overall finding is annotated as indeterminate, with the conflict outlined</w:t>
      </w:r>
      <w:r>
        <w:rPr>
          <w:lang w:val="en-GB"/>
        </w:rPr>
        <w:t xml:space="preserve"> in the context field.</w:t>
      </w:r>
      <w:r>
        <w:rPr>
          <w:lang w:val="en-GB"/>
        </w:rPr>
      </w:r>
    </w:p>
    <w:p w14:paraId="5742EEDE" w14:textId="063E75D6">
      <w:pPr>
        <w:pBdr/>
        <w:spacing/>
        <w:ind/>
        <w:rPr>
          <w:lang w:val="en-GB"/>
        </w:rPr>
      </w:pPr>
      <w:r>
        <w:rPr>
          <w:lang w:val="en-GB"/>
        </w:rPr>
        <w:t xml:space="preserve">Interventional-radiology reports (brachytherapy, SIRT, TACE, RFA, etc.) are annot</w:t>
      </w:r>
      <w:r>
        <w:rPr>
          <w:lang w:val="en-GB"/>
        </w:rPr>
        <w:t xml:space="preserve">at</w:t>
      </w:r>
      <w:r>
        <w:rPr>
          <w:lang w:val="en-GB"/>
        </w:rPr>
        <w:t xml:space="preserve">ed like any other finding with all the same attributes. There is no separate event type for such cases – interventional reports are treated as </w:t>
      </w:r>
      <w:r>
        <w:rPr>
          <w:lang w:val="en-GB"/>
        </w:rPr>
        <w:t xml:space="preserve">any other radiological </w:t>
      </w:r>
      <w:r>
        <w:rPr>
          <w:lang w:val="en-GB"/>
        </w:rPr>
        <w:t xml:space="preserve">finding</w:t>
      </w:r>
      <w:r>
        <w:rPr>
          <w:lang w:val="en-GB"/>
        </w:rPr>
        <w:t xml:space="preserve"> within the trajectory.</w:t>
      </w:r>
      <w:r>
        <w:rPr>
          <w:lang w:val="en-GB"/>
        </w:rPr>
      </w:r>
    </w:p>
    <w:tbl>
      <w:tblPr>
        <w:tblStyle w:val="71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62"/>
      </w:tblGrid>
      <w:tr>
        <w:trPr/>
        <w:tc>
          <w:tcPr>
            <w:tcBorders/>
            <w:tcW w:w="9062" w:type="dxa"/>
          </w:tcPr>
          <w:p w14:paraId="27A4E172" w14:textId="77777777">
            <w:pPr>
              <w:pBdr/>
              <w:spacing/>
              <w:ind/>
              <w:rPr>
                <w:i/>
                <w:iCs/>
                <w:color w:val="3a3a3a" w:themeColor="background2" w:themeShade="40"/>
                <w:lang w:val="en-GB"/>
              </w:rPr>
            </w:pPr>
            <w:r>
              <w:rPr>
                <w:i/>
                <w:iCs/>
                <w:color w:val="3a3a3a" w:themeColor="background2" w:themeShade="40"/>
                <w:lang w:val="en-GB"/>
              </w:rPr>
              <w:t xml:space="preserve">Sample Annotation</w:t>
            </w:r>
            <w:r>
              <w:rPr>
                <w:i/>
                <w:iCs/>
                <w:color w:val="3a3a3a" w:themeColor="background2" w:themeShade="40"/>
                <w:lang w:val="en-US"/>
              </w:rPr>
              <w:t xml:space="preserve"> in German</w:t>
            </w:r>
            <w:r>
              <w:rPr>
                <w:i/>
                <w:iCs/>
                <w:color w:val="3a3a3a" w:themeColor="background2" w:themeShade="40"/>
                <w:lang w:val="en-GB"/>
              </w:rPr>
            </w:r>
          </w:p>
          <w:p w14:paraId="7B698BBB" w14:textId="77777777">
            <w:pPr>
              <w:pBdr/>
              <w:spacing/>
              <w:ind/>
              <w:rPr>
                <w:b/>
                <w:bCs/>
                <w:i/>
                <w:iCs/>
                <w:color w:val="3a3a3a" w:themeColor="background2" w:themeShade="40"/>
                <w:lang w:val="en-GB"/>
              </w:rPr>
            </w:pPr>
            <w:r>
              <w:rPr>
                <w:b/>
                <w:bCs/>
                <w:i/>
                <w:iCs/>
                <w:color w:val="3a3a3a" w:themeColor="background2" w:themeShade="40"/>
                <w:lang w:val="en-GB"/>
              </w:rPr>
            </w:r>
            <w:r>
              <w:rPr>
                <w:b/>
                <w:bCs/>
                <w:i/>
                <w:iCs/>
                <w:color w:val="3a3a3a" w:themeColor="background2" w:themeShade="40"/>
                <w:lang w:val="en-GB"/>
              </w:rPr>
            </w:r>
          </w:p>
        </w:tc>
      </w:tr>
      <w:tr>
        <w:trPr>
          <w:trHeight w:val="569"/>
        </w:trPr>
        <w:tc>
          <w:tcPr>
            <w:tcBorders/>
            <w:tcW w:w="9062" w:type="dxa"/>
          </w:tcPr>
          <w:p w14:paraId="30065538" w14:textId="77777777">
            <w:pPr>
              <w:pBdr/>
              <w:spacing/>
              <w:ind/>
              <w:rPr>
                <w:rStyle w:val="713"/>
                <w:b w:val="0"/>
                <w:bCs w:val="0"/>
                <w:color w:val="3a3a3a" w:themeColor="background2" w:themeShade="40"/>
              </w:rPr>
            </w:pPr>
            <w:r>
              <w:rPr>
                <w:rStyle w:val="713"/>
                <w:color w:val="3a3a3a" w:themeColor="background2" w:themeShade="40"/>
              </w:rPr>
              <w:t xml:space="preserve">Entität:</w:t>
            </w:r>
            <w:r>
              <w:rPr>
                <w:rStyle w:val="713"/>
                <w:b w:val="0"/>
                <w:bCs w:val="0"/>
                <w:color w:val="3a3a3a" w:themeColor="background2" w:themeShade="40"/>
              </w:rPr>
              <w:t xml:space="preserve"> HCC-Herd Lebersegment VIII </w:t>
            </w:r>
            <w:r>
              <w:rPr>
                <w:rStyle w:val="713"/>
                <w:b w:val="0"/>
                <w:bCs w:val="0"/>
                <w:color w:val="3a3a3a" w:themeColor="background2" w:themeShade="40"/>
              </w:rPr>
            </w:r>
          </w:p>
          <w:p w14:paraId="6482ADB6" w14:textId="77777777">
            <w:pPr>
              <w:pBdr/>
              <w:spacing/>
              <w:ind/>
              <w:rPr>
                <w:rStyle w:val="713"/>
                <w:b w:val="0"/>
                <w:bCs w:val="0"/>
                <w:color w:val="3a3a3a" w:themeColor="background2" w:themeShade="40"/>
              </w:rPr>
            </w:pPr>
            <w:r>
              <w:rPr>
                <w:rStyle w:val="713"/>
                <w:b w:val="0"/>
                <w:bCs w:val="0"/>
                <w:color w:val="3a3a3a" w:themeColor="background2" w:themeShade="40"/>
              </w:rPr>
              <w:t xml:space="preserve">Lokalisation: rechter Leberlappen, Segment VIII </w:t>
            </w:r>
            <w:r>
              <w:rPr>
                <w:rStyle w:val="713"/>
                <w:b w:val="0"/>
                <w:bCs w:val="0"/>
                <w:color w:val="3a3a3a" w:themeColor="background2" w:themeShade="40"/>
              </w:rPr>
            </w:r>
          </w:p>
          <w:p w14:paraId="6815B99E" w14:textId="77777777">
            <w:pPr>
              <w:pBdr/>
              <w:spacing/>
              <w:ind/>
              <w:rPr>
                <w:rStyle w:val="713"/>
                <w:b w:val="0"/>
                <w:bCs w:val="0"/>
                <w:color w:val="3a3a3a" w:themeColor="background2" w:themeShade="40"/>
              </w:rPr>
            </w:pPr>
            <w:r>
              <w:rPr>
                <w:rStyle w:val="713"/>
                <w:color w:val="3a3a3a" w:themeColor="background2" w:themeShade="40"/>
              </w:rPr>
              <w:t xml:space="preserve">Befundstatus:</w:t>
            </w:r>
            <w:r>
              <w:rPr>
                <w:rStyle w:val="713"/>
                <w:b w:val="0"/>
                <w:bCs w:val="0"/>
                <w:color w:val="3a3a3a" w:themeColor="background2" w:themeShade="40"/>
              </w:rPr>
              <w:t xml:space="preserve"> Persistierend </w:t>
            </w:r>
            <w:r>
              <w:rPr>
                <w:rStyle w:val="713"/>
                <w:b w:val="0"/>
                <w:bCs w:val="0"/>
                <w:color w:val="3a3a3a" w:themeColor="background2" w:themeShade="40"/>
              </w:rPr>
            </w:r>
          </w:p>
          <w:p w14:paraId="302D1D9F" w14:textId="77777777">
            <w:pPr>
              <w:pBdr/>
              <w:spacing/>
              <w:ind/>
              <w:rPr>
                <w:rStyle w:val="713"/>
                <w:b w:val="0"/>
                <w:bCs w:val="0"/>
                <w:color w:val="3a3a3a" w:themeColor="background2" w:themeShade="40"/>
              </w:rPr>
            </w:pPr>
            <w:r>
              <w:rPr>
                <w:rStyle w:val="713"/>
                <w:color w:val="3a3a3a" w:themeColor="background2" w:themeShade="40"/>
              </w:rPr>
              <w:t xml:space="preserve">Verlaufsrichtung:</w:t>
            </w:r>
            <w:r>
              <w:rPr>
                <w:rStyle w:val="713"/>
                <w:b w:val="0"/>
                <w:bCs w:val="0"/>
                <w:color w:val="3a3a3a" w:themeColor="background2" w:themeShade="40"/>
              </w:rPr>
              <w:t xml:space="preserve"> Unverändert </w:t>
            </w:r>
            <w:r>
              <w:rPr>
                <w:rStyle w:val="713"/>
                <w:b w:val="0"/>
                <w:bCs w:val="0"/>
                <w:color w:val="3a3a3a" w:themeColor="background2" w:themeShade="40"/>
              </w:rPr>
            </w:r>
          </w:p>
          <w:p w14:paraId="2D754991" w14:textId="77777777">
            <w:pPr>
              <w:pBdr/>
              <w:spacing/>
              <w:ind/>
              <w:rPr>
                <w:rStyle w:val="713"/>
                <w:b w:val="0"/>
                <w:bCs w:val="0"/>
                <w:color w:val="3a3a3a" w:themeColor="background2" w:themeShade="40"/>
              </w:rPr>
            </w:pPr>
            <w:r>
              <w:rPr>
                <w:rStyle w:val="713"/>
                <w:color w:val="3a3a3a" w:themeColor="background2" w:themeShade="40"/>
              </w:rPr>
              <w:t xml:space="preserve">Verändertes Merkmal:</w:t>
            </w:r>
            <w:r>
              <w:rPr>
                <w:rStyle w:val="713"/>
                <w:b w:val="0"/>
                <w:bCs w:val="0"/>
                <w:color w:val="3a3a3a" w:themeColor="background2" w:themeShade="40"/>
              </w:rPr>
              <w:t xml:space="preserve"> Kein spezifisches Merkmal </w:t>
            </w:r>
            <w:r>
              <w:rPr>
                <w:rStyle w:val="713"/>
                <w:b w:val="0"/>
                <w:bCs w:val="0"/>
                <w:color w:val="3a3a3a" w:themeColor="background2" w:themeShade="40"/>
              </w:rPr>
            </w:r>
          </w:p>
          <w:p w14:paraId="1080BBCA" w14:textId="711193E0">
            <w:pPr>
              <w:pBdr/>
              <w:spacing/>
              <w:ind/>
              <w:rPr>
                <w:b/>
                <w:bCs/>
                <w:color w:val="3a3a3a" w:themeColor="background2" w:themeShade="40"/>
              </w:rPr>
            </w:pPr>
            <w:r>
              <w:rPr>
                <w:rStyle w:val="713"/>
                <w:color w:val="3a3a3a" w:themeColor="background2" w:themeShade="40"/>
              </w:rPr>
              <w:t xml:space="preserve">Delta/Beleg:</w:t>
            </w:r>
            <w:r>
              <w:rPr>
                <w:rStyle w:val="713"/>
                <w:b w:val="0"/>
                <w:bCs w:val="0"/>
                <w:color w:val="3a3a3a" w:themeColor="background2" w:themeShade="40"/>
              </w:rPr>
              <w:t xml:space="preserve"> Im MRT größenkonstant bei 4,8 cm gegenüber der Voruntersuchung; CT vom gleichen Tag bestätigt konkordant 4,7 cm.</w:t>
            </w:r>
            <w:r>
              <w:rPr>
                <w:b/>
                <w:bCs/>
                <w:color w:val="3a3a3a" w:themeColor="background2" w:themeShade="40"/>
              </w:rPr>
            </w:r>
          </w:p>
        </w:tc>
      </w:tr>
    </w:tbl>
    <w:p w14:paraId="249FE222" w14:textId="77777777">
      <w:pPr>
        <w:pBdr/>
        <w:spacing/>
        <w:ind/>
        <w:rPr/>
      </w:pPr>
      <w:r/>
      <w:r/>
    </w:p>
    <w:p w14:paraId="3B17AD49" w14:textId="3794750B">
      <w:pPr>
        <w:pBdr/>
        <w:spacing/>
        <w:ind/>
        <w:rPr>
          <w:lang w:val="en-GB"/>
        </w:rPr>
      </w:pPr>
      <w:r>
        <w:rPr>
          <w:b/>
          <w:bCs/>
          <w:lang w:val="en-GB"/>
        </w:rPr>
        <w:t xml:space="preserve">The Global Note</w:t>
      </w:r>
      <w:r>
        <w:rPr>
          <w:lang w:val="en-GB"/>
        </w:rPr>
        <w:t xml:space="preserve"> essentially summarizes the o</w:t>
      </w:r>
      <w:r>
        <w:rPr>
          <w:lang w:val="en-GB"/>
        </w:rPr>
        <w:t xml:space="preserve">verall trajectory of the relevant findings without simply paraphrasing the finding-level details. This annotation carries one overall status – stable, improved, progressive, mixed, complete regression, indeterminate, not assessable, or not comparable with </w:t>
      </w:r>
      <w:r>
        <w:rPr>
          <w:lang w:val="en-GB"/>
        </w:rPr>
        <w:t xml:space="preserve">an </w:t>
      </w:r>
      <w:r>
        <w:rPr>
          <w:lang w:val="en-GB"/>
        </w:rPr>
        <w:t xml:space="preserve">additional contextual sentence </w:t>
      </w:r>
      <w:r>
        <w:rPr>
          <w:lang w:val="en-GB"/>
        </w:rPr>
        <w:t xml:space="preserve">and</w:t>
      </w:r>
      <w:r>
        <w:rPr>
          <w:lang w:val="en-GB"/>
        </w:rPr>
        <w:t xml:space="preserve"> the corresponding explanation. </w:t>
      </w:r>
      <w:r>
        <w:rPr>
          <w:lang w:val="en-GB"/>
          <w14:ligatures w14:val="none"/>
        </w:rPr>
        <w:t xml:space="preserve">Because different key findings may be marked as progressive and improved simultaneously, assign the mixed label based on</w:t>
      </w:r>
      <w:r>
        <w:rPr>
          <w:lang w:val="en-GB"/>
        </w:rPr>
        <w:t xml:space="preserve"> the specific aggregation logic.</w:t>
      </w:r>
      <w:r>
        <w:rPr>
          <w:lang w:val="en-GB"/>
        </w:rPr>
      </w:r>
    </w:p>
    <w:p w14:paraId="251BA6ED" w14:textId="496EFAA5">
      <w:pPr>
        <w:pStyle w:val="707"/>
        <w:numPr>
          <w:ilvl w:val="0"/>
          <w:numId w:val="4"/>
        </w:numPr>
        <w:pBdr/>
        <w:spacing/>
        <w:ind/>
        <w:rPr>
          <w:b/>
          <w:bCs/>
          <w:lang w:val="en-GB"/>
        </w:rPr>
      </w:pPr>
      <w:r>
        <w:rPr>
          <w:b/>
          <w:bCs/>
          <w:lang w:val="en-GB"/>
        </w:rPr>
        <w:t xml:space="preserve">Gesamtstatus (overall status)</w:t>
      </w:r>
      <w:r>
        <w:rPr>
          <w:b/>
          <w:bCs/>
          <w:lang w:val="en-GB"/>
        </w:rPr>
      </w:r>
    </w:p>
    <w:tbl>
      <w:tblPr>
        <w:tblStyle w:val="712"/>
        <w:tblW w:w="0" w:type="auto"/>
        <w:tblBorders/>
        <w:tblLook w:val="04A0" w:firstRow="1" w:lastRow="0" w:firstColumn="1" w:lastColumn="0" w:noHBand="0" w:noVBand="1"/>
      </w:tblPr>
      <w:tblGrid>
        <w:gridCol w:w="3681"/>
        <w:gridCol w:w="5381"/>
      </w:tblGrid>
      <w:tr>
        <w:trPr/>
        <w:tc>
          <w:tcPr>
            <w:tcBorders/>
            <w:tcW w:w="3681" w:type="dxa"/>
          </w:tcPr>
          <w:p w14:paraId="2F65525A" w14:textId="77777777">
            <w:pPr>
              <w:pBdr/>
              <w:spacing/>
              <w:ind/>
              <w:rPr>
                <w:b/>
                <w:bCs/>
                <w:lang w:val="en-GB"/>
              </w:rPr>
            </w:pPr>
            <w:r>
              <w:rPr>
                <w:b/>
                <w:bCs/>
                <w:lang w:val="en-GB"/>
              </w:rPr>
              <w:t xml:space="preserve">German Term (entered in RadTag)</w:t>
            </w:r>
            <w:r>
              <w:rPr>
                <w:b/>
                <w:bCs/>
                <w:lang w:val="en-GB"/>
              </w:rPr>
            </w:r>
          </w:p>
        </w:tc>
        <w:tc>
          <w:tcPr>
            <w:tcBorders/>
            <w:tcW w:w="5381" w:type="dxa"/>
          </w:tcPr>
          <w:p w14:paraId="5D15087B" w14:textId="77777777">
            <w:pPr>
              <w:pBdr/>
              <w:spacing/>
              <w:ind/>
              <w:rPr>
                <w:b/>
                <w:bCs/>
                <w:lang w:val="en-GB"/>
              </w:rPr>
            </w:pPr>
            <w:r>
              <w:rPr>
                <w:b/>
                <w:bCs/>
                <w:lang w:val="en-GB"/>
              </w:rPr>
              <w:t xml:space="preserve">English Explanation</w:t>
            </w:r>
            <w:r>
              <w:rPr>
                <w:b/>
                <w:bCs/>
                <w:lang w:val="en-GB"/>
              </w:rPr>
            </w:r>
          </w:p>
        </w:tc>
      </w:tr>
      <w:tr>
        <w:trPr/>
        <w:tc>
          <w:tcPr>
            <w:tcBorders/>
            <w:tcW w:w="3681" w:type="dxa"/>
          </w:tcPr>
          <w:p w14:paraId="7C9CF018" w14:textId="21D33372">
            <w:pPr>
              <w:pBdr/>
              <w:spacing/>
              <w:ind/>
              <w:rPr>
                <w:lang w:val="en-GB"/>
              </w:rPr>
            </w:pPr>
            <w:r>
              <w:rPr>
                <w:lang w:val="en-GB"/>
              </w:rPr>
              <w:t xml:space="preserve">Stabil</w:t>
            </w:r>
            <w:r>
              <w:rPr>
                <w:lang w:val="en-GB"/>
              </w:rPr>
            </w:r>
          </w:p>
        </w:tc>
        <w:tc>
          <w:tcPr>
            <w:tcBorders/>
            <w:tcW w:w="5381" w:type="dxa"/>
          </w:tcPr>
          <w:p w14:paraId="2BB3CADF" w14:textId="7AACBE81">
            <w:pPr>
              <w:pBdr/>
              <w:spacing/>
              <w:ind/>
              <w:rPr>
                <w:lang w:val="en-GB"/>
              </w:rPr>
            </w:pPr>
            <w:r>
              <w:rPr>
                <w:lang w:val="en-GB"/>
              </w:rPr>
              <w:t xml:space="preserve">Stable – no relevant change among the relevant finding.</w:t>
            </w:r>
            <w:r>
              <w:rPr>
                <w:lang w:val="en-GB"/>
              </w:rPr>
            </w:r>
          </w:p>
        </w:tc>
      </w:tr>
      <w:tr>
        <w:trPr/>
        <w:tc>
          <w:tcPr>
            <w:tcBorders/>
            <w:tcW w:w="3681" w:type="dxa"/>
          </w:tcPr>
          <w:p w14:paraId="07147B2C" w14:textId="71EFBCAA">
            <w:pPr>
              <w:pBdr/>
              <w:spacing/>
              <w:ind/>
              <w:rPr>
                <w:lang w:val="en-GB"/>
              </w:rPr>
            </w:pPr>
            <w:r>
              <w:rPr>
                <w:lang w:val="en-GB"/>
              </w:rPr>
              <w:t xml:space="preserve">Gebessert</w:t>
            </w:r>
            <w:r>
              <w:rPr>
                <w:lang w:val="en-GB"/>
              </w:rPr>
            </w:r>
          </w:p>
        </w:tc>
        <w:tc>
          <w:tcPr>
            <w:tcBorders/>
            <w:tcW w:w="5381" w:type="dxa"/>
          </w:tcPr>
          <w:p w14:paraId="37C5EA6D" w14:textId="2C3EBF83">
            <w:pPr>
              <w:pBdr/>
              <w:spacing/>
              <w:ind/>
              <w:rPr>
                <w:lang w:val="en-GB"/>
              </w:rPr>
            </w:pPr>
            <w:r>
              <w:rPr>
                <w:lang w:val="en-GB"/>
              </w:rPr>
              <w:t xml:space="preserve">Improved – predominantly regressive or no longer detectable.</w:t>
            </w:r>
            <w:r>
              <w:rPr>
                <w:lang w:val="en-GB"/>
              </w:rPr>
            </w:r>
          </w:p>
        </w:tc>
      </w:tr>
      <w:tr>
        <w:trPr/>
        <w:tc>
          <w:tcPr>
            <w:tcBorders/>
            <w:tcW w:w="3681" w:type="dxa"/>
          </w:tcPr>
          <w:p w14:paraId="60073A11" w14:textId="3E496B92">
            <w:pPr>
              <w:pBdr/>
              <w:spacing/>
              <w:ind/>
              <w:rPr>
                <w:lang w:val="en-GB"/>
              </w:rPr>
            </w:pPr>
            <w:r>
              <w:rPr>
                <w:lang w:val="en-GB"/>
              </w:rPr>
              <w:t xml:space="preserve">Progredient</w:t>
            </w:r>
            <w:r>
              <w:rPr>
                <w:lang w:val="en-GB"/>
              </w:rPr>
            </w:r>
          </w:p>
        </w:tc>
        <w:tc>
          <w:tcPr>
            <w:tcBorders/>
            <w:tcW w:w="5381" w:type="dxa"/>
          </w:tcPr>
          <w:p w14:paraId="104B8E46" w14:textId="380DA472">
            <w:pPr>
              <w:pBdr/>
              <w:spacing/>
              <w:ind/>
              <w:rPr>
                <w:lang w:val="en-GB"/>
              </w:rPr>
            </w:pPr>
            <w:r>
              <w:rPr>
                <w:lang w:val="en-GB"/>
              </w:rPr>
              <w:t xml:space="preserve">Progressive – at least one relevant finding is new or increasing with no opposing relevant change within the same complex.</w:t>
            </w:r>
            <w:r>
              <w:rPr>
                <w:lang w:val="en-GB"/>
              </w:rPr>
            </w:r>
          </w:p>
        </w:tc>
      </w:tr>
      <w:tr>
        <w:trPr/>
        <w:tc>
          <w:tcPr>
            <w:tcBorders/>
            <w:tcW w:w="3681" w:type="dxa"/>
          </w:tcPr>
          <w:p w14:paraId="5E54C28E" w14:textId="2523E4B4">
            <w:pPr>
              <w:pBdr/>
              <w:spacing/>
              <w:ind/>
              <w:rPr>
                <w:lang w:val="en-GB"/>
              </w:rPr>
            </w:pPr>
            <w:r>
              <w:rPr>
                <w:lang w:val="en-GB"/>
              </w:rPr>
              <w:t xml:space="preserve">Gemischte Veränderung</w:t>
            </w:r>
            <w:r>
              <w:rPr>
                <w:lang w:val="en-GB"/>
              </w:rPr>
            </w:r>
          </w:p>
        </w:tc>
        <w:tc>
          <w:tcPr>
            <w:tcBorders/>
            <w:tcW w:w="5381" w:type="dxa"/>
          </w:tcPr>
          <w:p w14:paraId="74B89FEB" w14:textId="3F6A9DEE">
            <w:pPr>
              <w:pBdr/>
              <w:spacing/>
              <w:ind/>
              <w:rPr>
                <w:lang w:val="en-GB"/>
              </w:rPr>
            </w:pPr>
            <w:r>
              <w:rPr>
                <w:lang w:val="en-GB"/>
              </w:rPr>
              <w:t xml:space="preserve">Mixed – at least two independent finding complexes with opposing status.</w:t>
            </w:r>
            <w:r>
              <w:rPr>
                <w:lang w:val="en-GB"/>
              </w:rPr>
            </w:r>
          </w:p>
        </w:tc>
      </w:tr>
      <w:tr>
        <w:trPr/>
        <w:tc>
          <w:tcPr>
            <w:tcBorders/>
            <w:tcW w:w="3681" w:type="dxa"/>
          </w:tcPr>
          <w:p w14:paraId="1B6687D4" w14:textId="3D227854">
            <w:pPr>
              <w:pBdr/>
              <w:spacing/>
              <w:ind/>
              <w:rPr>
                <w:lang w:val="en-GB"/>
              </w:rPr>
            </w:pPr>
            <w:r>
              <w:rPr>
                <w:lang w:val="en-GB"/>
              </w:rPr>
              <w:t xml:space="preserve">Vollständige Rückbildung</w:t>
            </w:r>
            <w:r>
              <w:rPr>
                <w:lang w:val="en-GB"/>
              </w:rPr>
            </w:r>
          </w:p>
        </w:tc>
        <w:tc>
          <w:tcPr>
            <w:tcBorders/>
            <w:tcW w:w="5381" w:type="dxa"/>
          </w:tcPr>
          <w:p w14:paraId="4775934D" w14:textId="20BED3A9">
            <w:pPr>
              <w:pBdr/>
              <w:spacing/>
              <w:ind/>
              <w:rPr>
                <w:lang w:val="en-GB"/>
              </w:rPr>
            </w:pPr>
            <w:r>
              <w:rPr>
                <w:lang w:val="en-GB"/>
              </w:rPr>
              <w:t xml:space="preserve">Complete regression – all previously relevant findings are no longer detectable or explicitly fully regressed.</w:t>
            </w:r>
            <w:r>
              <w:rPr>
                <w:lang w:val="en-GB"/>
              </w:rPr>
            </w:r>
          </w:p>
        </w:tc>
      </w:tr>
      <w:tr>
        <w:trPr/>
        <w:tc>
          <w:tcPr>
            <w:tcBorders/>
            <w:tcW w:w="3681" w:type="dxa"/>
          </w:tcPr>
          <w:p w14:paraId="347DDD6D" w14:textId="29FA6A72">
            <w:pPr>
              <w:pBdr/>
              <w:spacing/>
              <w:ind/>
              <w:rPr>
                <w:lang w:val="en-GB"/>
              </w:rPr>
            </w:pPr>
            <w:r>
              <w:rPr>
                <w:lang w:val="en-GB"/>
              </w:rPr>
              <w:t xml:space="preserve">Indeterminiert</w:t>
            </w:r>
            <w:r>
              <w:rPr>
                <w:lang w:val="en-GB"/>
              </w:rPr>
            </w:r>
          </w:p>
        </w:tc>
        <w:tc>
          <w:tcPr>
            <w:tcBorders/>
            <w:tcW w:w="5381" w:type="dxa"/>
          </w:tcPr>
          <w:p w14:paraId="5BA45DE9" w14:textId="63C885BA">
            <w:pPr>
              <w:pBdr/>
              <w:spacing/>
              <w:ind/>
              <w:rPr>
                <w:lang w:val="en-GB"/>
              </w:rPr>
            </w:pPr>
            <w:r>
              <w:rPr>
                <w:lang w:val="en-GB"/>
              </w:rPr>
              <w:t xml:space="preserve">Indeterminate – no reliable overall classification possible.</w:t>
            </w:r>
            <w:r>
              <w:rPr>
                <w:lang w:val="en-GB"/>
              </w:rPr>
            </w:r>
          </w:p>
        </w:tc>
      </w:tr>
      <w:tr>
        <w:trPr/>
        <w:tc>
          <w:tcPr>
            <w:tcBorders/>
            <w:tcW w:w="3681" w:type="dxa"/>
          </w:tcPr>
          <w:p w14:paraId="39A5E183" w14:textId="5826C23C">
            <w:pPr>
              <w:pBdr/>
              <w:spacing/>
              <w:ind/>
              <w:rPr>
                <w:lang w:val="en-GB"/>
              </w:rPr>
            </w:pPr>
            <w:r>
              <w:rPr>
                <w:lang w:val="en-GB"/>
              </w:rPr>
              <w:t xml:space="preserve">Nicht beurteilbar</w:t>
            </w:r>
            <w:r>
              <w:rPr>
                <w:lang w:val="en-GB"/>
              </w:rPr>
            </w:r>
          </w:p>
        </w:tc>
        <w:tc>
          <w:tcPr>
            <w:tcBorders/>
            <w:tcW w:w="5381" w:type="dxa"/>
          </w:tcPr>
          <w:p w14:paraId="2BC92FD0" w14:textId="6359FD60">
            <w:pPr>
              <w:pBdr/>
              <w:spacing/>
              <w:ind/>
              <w:rPr>
                <w:lang w:val="en-GB"/>
              </w:rPr>
            </w:pPr>
            <w:r>
              <w:rPr>
                <w:lang w:val="en-GB"/>
              </w:rPr>
              <w:t xml:space="preserve">Not assessable – an overall </w:t>
            </w:r>
            <w:r>
              <w:rPr>
                <w:lang w:val="en-GB"/>
              </w:rPr>
              <w:t xml:space="preserve">assessment</w:t>
            </w:r>
            <w:r>
              <w:rPr>
                <w:lang w:val="en-GB"/>
              </w:rPr>
              <w:t xml:space="preserve"> is not possible.</w:t>
            </w:r>
            <w:r>
              <w:rPr>
                <w:lang w:val="en-GB"/>
              </w:rPr>
            </w:r>
          </w:p>
        </w:tc>
      </w:tr>
      <w:tr>
        <w:trPr/>
        <w:tc>
          <w:tcPr>
            <w:tcBorders/>
            <w:tcW w:w="3681" w:type="dxa"/>
          </w:tcPr>
          <w:p w14:paraId="6FCEE324" w14:textId="61F64B6A">
            <w:pPr>
              <w:pBdr/>
              <w:spacing/>
              <w:ind/>
              <w:rPr>
                <w:lang w:val="en-GB"/>
              </w:rPr>
            </w:pPr>
            <w:r>
              <w:rPr>
                <w:lang w:val="en-GB"/>
              </w:rPr>
              <w:t xml:space="preserve">Nicht vergleichbar</w:t>
            </w:r>
            <w:r>
              <w:rPr>
                <w:lang w:val="en-GB"/>
              </w:rPr>
            </w:r>
          </w:p>
        </w:tc>
        <w:tc>
          <w:tcPr>
            <w:tcBorders/>
            <w:tcW w:w="5381" w:type="dxa"/>
          </w:tcPr>
          <w:p w14:paraId="6EECCC78" w14:textId="789B88F4">
            <w:pPr>
              <w:pBdr/>
              <w:spacing/>
              <w:ind/>
              <w:rPr>
                <w:lang w:val="en-GB"/>
              </w:rPr>
            </w:pPr>
            <w:r>
              <w:rPr>
                <w:lang w:val="en-GB"/>
              </w:rPr>
              <w:t xml:space="preserve">Not comparable – no reliable basis for comparison.</w:t>
            </w:r>
            <w:r>
              <w:rPr>
                <w:lang w:val="en-GB"/>
              </w:rPr>
            </w:r>
          </w:p>
        </w:tc>
      </w:tr>
    </w:tbl>
    <w:p w14:paraId="7E79F92F" w14:textId="77777777">
      <w:pPr>
        <w:pBdr/>
        <w:spacing/>
        <w:ind/>
        <w:rPr>
          <w:lang w:val="en-GB"/>
        </w:rPr>
      </w:pPr>
      <w:r>
        <w:rPr>
          <w:lang w:val="en-GB"/>
        </w:rPr>
      </w:r>
      <w:r>
        <w:rPr>
          <w:lang w:val="en-GB"/>
        </w:rPr>
      </w:r>
    </w:p>
    <w:p w14:paraId="40621C3E" w14:textId="69150979">
      <w:pPr>
        <w:pBdr/>
        <w:spacing/>
        <w:ind/>
        <w:rPr>
          <w:lang w:val="en-GB"/>
        </w:rPr>
      </w:pPr>
      <w:r>
        <w:rPr>
          <w:lang w:val="en-GB"/>
        </w:rPr>
        <w:t xml:space="preserve">Before assigning the overall status, the relevant findings should be grouped into finding complexes which capture the finding</w:t>
      </w:r>
      <w:r>
        <w:rPr>
          <w:lang w:val="en-GB"/>
        </w:rPr>
        <w:t xml:space="preserve">s</w:t>
      </w:r>
      <w:r>
        <w:rPr>
          <w:lang w:val="en-GB"/>
        </w:rPr>
        <w:t xml:space="preserve"> that lie in the same organ/anatomical unit and are subject to the same treatment or clinical decision </w:t>
      </w:r>
      <w:r>
        <w:rPr>
          <w:lang w:val="en-GB"/>
        </w:rPr>
        <w:t xml:space="preserve">(e.g. “right hepatic lobe after right-sided radioembolization” vs. “left hepatic lo</w:t>
      </w:r>
      <w:r>
        <w:rPr>
          <w:lang w:val="en-GB"/>
        </w:rPr>
        <w:t xml:space="preserve">b</w:t>
      </w:r>
      <w:r>
        <w:rPr>
          <w:lang w:val="en-GB"/>
        </w:rPr>
        <w:t xml:space="preserve">e pending left-sided radioembolization”). Some trajectories have one complex</w:t>
      </w:r>
      <w:r>
        <w:rPr>
          <w:lang w:val="en-GB"/>
        </w:rPr>
        <w:t xml:space="preserve">;</w:t>
      </w:r>
      <w:r>
        <w:rPr>
          <w:lang w:val="en-GB"/>
        </w:rPr>
        <w:t xml:space="preserve"> other</w:t>
      </w:r>
      <w:r>
        <w:rPr>
          <w:lang w:val="en-GB"/>
        </w:rPr>
        <w:t xml:space="preserve">s</w:t>
      </w:r>
      <w:r>
        <w:rPr>
          <w:lang w:val="en-GB"/>
        </w:rPr>
        <w:t xml:space="preserve"> have several</w:t>
      </w:r>
      <w:r>
        <w:rPr>
          <w:lang w:val="en-GB"/>
        </w:rPr>
        <w:t xml:space="preserve">,</w:t>
      </w:r>
      <w:r>
        <w:rPr>
          <w:lang w:val="en-GB"/>
        </w:rPr>
        <w:t xml:space="preserve"> and this difference </w:t>
      </w:r>
      <w:r>
        <w:rPr>
          <w:lang w:val="en-GB"/>
        </w:rPr>
        <w:t xml:space="preserve">is to be </w:t>
      </w:r>
      <w:r>
        <w:rPr>
          <w:lang w:val="en-GB"/>
        </w:rPr>
        <w:t xml:space="preserve">addressed correctly. </w:t>
      </w:r>
      <w:r>
        <w:rPr>
          <w:lang w:val="en-GB"/>
        </w:rPr>
      </w:r>
    </w:p>
    <w:p w14:paraId="18940F98" w14:textId="76F27009">
      <w:pPr>
        <w:pStyle w:val="707"/>
        <w:numPr>
          <w:ilvl w:val="0"/>
          <w:numId w:val="5"/>
        </w:numPr>
        <w:pBdr/>
        <w:spacing/>
        <w:ind/>
        <w:rPr>
          <w:lang w:val="en-GB"/>
        </w:rPr>
      </w:pPr>
      <w:r>
        <w:rPr>
          <w:lang w:val="en-GB"/>
        </w:rPr>
        <w:t xml:space="preserve">If there is no comparability across the finding</w:t>
      </w:r>
      <w:r>
        <w:rPr>
          <w:lang w:val="en-GB"/>
        </w:rPr>
        <w:t xml:space="preserve">s</w:t>
      </w:r>
      <w:r>
        <w:rPr>
          <w:lang w:val="en-GB"/>
        </w:rPr>
        <w:t xml:space="preserve"> within the trajectory, then “Nicht vergleichbar”/</w:t>
      </w:r>
      <w:r>
        <w:rPr>
          <w:lang w:val="en-GB"/>
        </w:rPr>
        <w:t xml:space="preserve">“</w:t>
      </w:r>
      <w:r>
        <w:rPr>
          <w:lang w:val="en-GB"/>
        </w:rPr>
        <w:t xml:space="preserve">Nicht beurteilbar”.</w:t>
      </w:r>
      <w:r>
        <w:rPr>
          <w:lang w:val="en-GB"/>
        </w:rPr>
      </w:r>
    </w:p>
    <w:p w14:paraId="1B96E6CB" w14:textId="0BF9A95F">
      <w:pPr>
        <w:pStyle w:val="707"/>
        <w:numPr>
          <w:ilvl w:val="0"/>
          <w:numId w:val="5"/>
        </w:numPr>
        <w:pBdr/>
        <w:spacing/>
        <w:ind/>
        <w:rPr>
          <w:lang w:val="en-GB"/>
        </w:rPr>
      </w:pPr>
      <w:r>
        <w:rPr>
          <w:lang w:val="en-GB"/>
        </w:rPr>
        <w:t xml:space="preserve">Within one given complex</w:t>
      </w:r>
      <w:r>
        <w:rPr>
          <w:lang w:val="en-GB"/>
        </w:rPr>
        <w:t xml:space="preserve">,</w:t>
      </w:r>
      <w:r>
        <w:rPr>
          <w:lang w:val="en-GB"/>
        </w:rPr>
        <w:t xml:space="preserve"> the single worst finding determines the overall status of the finding complex. If </w:t>
      </w:r>
      <w:r>
        <w:rPr>
          <w:lang w:val="en-GB"/>
          <w14:ligatures w14:val="none"/>
        </w:rPr>
        <w:t xml:space="preserve">a new increasing finding is next to a regressive finding in the same complex, the status is “Progredient”,</w:t>
      </w:r>
      <w:r>
        <w:rPr>
          <w:lang w:val="en-GB"/>
        </w:rPr>
        <w:t xml:space="preserve"> not “Gemischte Veränderung”.</w:t>
      </w:r>
      <w:r>
        <w:rPr>
          <w:lang w:val="en-GB"/>
        </w:rPr>
      </w:r>
    </w:p>
    <w:p w14:paraId="0C59BFD0" w14:textId="0A66E82F">
      <w:pPr>
        <w:pStyle w:val="707"/>
        <w:numPr>
          <w:ilvl w:val="0"/>
          <w:numId w:val="5"/>
        </w:numPr>
        <w:pBdr/>
        <w:spacing/>
        <w:ind/>
        <w:rPr>
          <w:lang w:val="en-GB"/>
        </w:rPr>
      </w:pPr>
      <w:r>
        <w:rPr>
          <w:lang w:val="en-GB"/>
        </w:rPr>
        <w:t xml:space="preserve">“Gemischte Veränderung” is assigned only when at least two </w:t>
      </w:r>
      <w:r>
        <w:rPr>
          <w:lang w:val="en-GB"/>
        </w:rPr>
        <w:t xml:space="preserve">finding complexes exist and have opposing status.</w:t>
      </w:r>
      <w:r>
        <w:rPr>
          <w:lang w:val="en-GB"/>
        </w:rPr>
      </w:r>
    </w:p>
    <w:p w14:paraId="20062C61" w14:textId="01D29B2D">
      <w:pPr>
        <w:pStyle w:val="707"/>
        <w:numPr>
          <w:ilvl w:val="0"/>
          <w:numId w:val="5"/>
        </w:numPr>
        <w:pBdr/>
        <w:spacing/>
        <w:ind/>
        <w:rPr>
          <w:lang w:val="en-GB"/>
        </w:rPr>
      </w:pPr>
      <w:r>
        <w:rPr>
          <w:lang w:val="en-GB"/>
        </w:rPr>
        <w:t xml:space="preserve">If everything remains unchanged with no new findings, then the status “Stabil” is assigned.</w:t>
      </w:r>
      <w:r>
        <w:rPr>
          <w:lang w:val="en-GB"/>
        </w:rPr>
      </w:r>
    </w:p>
    <w:p w14:paraId="62298335" w14:textId="514D2775">
      <w:pPr>
        <w:pStyle w:val="707"/>
        <w:numPr>
          <w:ilvl w:val="0"/>
          <w:numId w:val="5"/>
        </w:numPr>
        <w:pBdr/>
        <w:spacing/>
        <w:ind/>
        <w:rPr>
          <w:lang w:val="en-GB"/>
        </w:rPr>
      </w:pPr>
      <w:r>
        <w:rPr>
          <w:lang w:val="en-GB"/>
        </w:rPr>
        <w:t xml:space="preserve">If </w:t>
      </w:r>
      <w:r>
        <w:rPr>
          <w:lang w:val="en-GB"/>
        </w:rPr>
        <w:t xml:space="preserve">a </w:t>
      </w:r>
      <w:r>
        <w:rPr>
          <w:lang w:val="en-GB"/>
        </w:rPr>
        <w:t xml:space="preserve">finding cannot be reliably classified, then the status “Indeterminiert” is assigned. </w:t>
      </w:r>
      <w:r>
        <w:rPr>
          <w:lang w:val="en-GB"/>
        </w:rPr>
      </w:r>
    </w:p>
    <w:p w14:paraId="34D18ADE" w14:textId="2419DE87">
      <w:pPr>
        <w:pStyle w:val="707"/>
        <w:numPr>
          <w:ilvl w:val="0"/>
          <w:numId w:val="5"/>
        </w:numPr>
        <w:pBdr/>
        <w:spacing/>
        <w:ind/>
        <w:rPr>
          <w:lang w:val="en-GB"/>
        </w:rPr>
      </w:pPr>
      <w:r>
        <w:rPr>
          <w:lang w:val="en-GB"/>
        </w:rPr>
        <w:t xml:space="preserve">“Vollständige Rückbildung” is assigned only when all previously relevant findings are no longer detectable or are fully regressed.</w:t>
      </w:r>
      <w:r>
        <w:rPr>
          <w:lang w:val="en-GB"/>
        </w:rPr>
      </w:r>
    </w:p>
    <w:p w14:paraId="0D41B64E">
      <w:pPr>
        <w:pBdr/>
        <w:spacing/>
        <w:ind/>
        <w:rPr>
          <w:lang w:val="en-GB"/>
        </w:rPr>
      </w:pPr>
      <w:r>
        <w:rPr>
          <w:highlight w:val="none"/>
          <w:lang w:val="en-GB" w:bidi="en-GB"/>
        </w:rPr>
      </w:r>
      <w:r>
        <w:rPr>
          <w:highlight w:val="none"/>
          <w:lang w:val="en-GB" w:bidi="en-GB"/>
        </w:rPr>
      </w:r>
      <w:r>
        <w:rPr>
          <w:highlight w:val="none"/>
          <w:lang w:val="en-GB"/>
        </w:rPr>
      </w:r>
    </w:p>
    <w:p w14:paraId="4DE87142" w14:textId="3F6FAF8B">
      <w:pPr>
        <w:pStyle w:val="707"/>
        <w:numPr>
          <w:ilvl w:val="0"/>
          <w:numId w:val="4"/>
        </w:numPr>
        <w:pBdr/>
        <w:spacing/>
        <w:ind/>
        <w:rPr>
          <w:b/>
          <w:bCs/>
          <w:lang w:val="en-GB"/>
        </w:rPr>
      </w:pPr>
      <w:r>
        <w:rPr>
          <w:b/>
          <w:bCs/>
          <w:lang w:val="en-GB"/>
        </w:rPr>
        <w:t xml:space="preserve">Kontext (context)</w:t>
      </w:r>
      <w:r>
        <w:rPr>
          <w:b/>
          <w:bCs/>
          <w:lang w:val="en-GB"/>
        </w:rPr>
      </w:r>
    </w:p>
    <w:p w14:paraId="00AF2896" w14:textId="401C870E">
      <w:pPr>
        <w:pBdr/>
        <w:spacing/>
        <w:ind/>
        <w:rPr>
          <w:lang w:val="en-GB"/>
        </w:rPr>
      </w:pPr>
      <w:r>
        <w:rPr>
          <w:lang w:val="en-GB"/>
        </w:rPr>
        <w:t xml:space="preserve">When overall status is “Gemischte Veränderung”, the Kontext field should outline the overall summary for each finding complex</w:t>
      </w:r>
      <w:r>
        <w:rPr>
          <w:lang w:val="en-GB"/>
        </w:rPr>
        <w:t xml:space="preserve">,</w:t>
      </w:r>
      <w:r>
        <w:rPr>
          <w:lang w:val="en-GB"/>
        </w:rPr>
        <w:t xml:space="preserve"> sorted</w:t>
      </w:r>
      <w:r>
        <w:rPr>
          <w:lang w:val="en-GB"/>
        </w:rPr>
        <w:t xml:space="preserve"> and</w:t>
      </w:r>
      <w:r>
        <w:rPr>
          <w:lang w:val="en-GB"/>
        </w:rPr>
        <w:t xml:space="preserve"> folded into one connected paragraph with no bulleted list.</w:t>
      </w:r>
      <w:r>
        <w:rPr>
          <w:lang w:val="en-GB"/>
        </w:rPr>
      </w:r>
    </w:p>
    <w:tbl>
      <w:tblPr>
        <w:tblStyle w:val="71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62"/>
      </w:tblGrid>
      <w:tr>
        <w:trPr/>
        <w:tc>
          <w:tcPr>
            <w:tcBorders/>
            <w:tcW w:w="9062" w:type="dxa"/>
          </w:tcPr>
          <w:p w14:paraId="038E2A29" w14:textId="77777777">
            <w:pPr>
              <w:pBdr/>
              <w:spacing/>
              <w:ind/>
              <w:rPr>
                <w:i/>
                <w:iCs/>
                <w:color w:val="3a3a3a" w:themeColor="background2" w:themeShade="40"/>
                <w:lang w:val="en-GB"/>
              </w:rPr>
            </w:pPr>
            <w:r>
              <w:rPr>
                <w:i/>
                <w:iCs/>
                <w:color w:val="3a3a3a" w:themeColor="background2" w:themeShade="40"/>
                <w:lang w:val="en-GB"/>
              </w:rPr>
              <w:t xml:space="preserve">Sample Annotation</w:t>
            </w:r>
            <w:r>
              <w:rPr>
                <w:i/>
                <w:iCs/>
                <w:color w:val="3a3a3a" w:themeColor="background2" w:themeShade="40"/>
                <w:lang w:val="en-US"/>
              </w:rPr>
              <w:t xml:space="preserve"> in German</w:t>
            </w:r>
            <w:r>
              <w:rPr>
                <w:i/>
                <w:iCs/>
                <w:color w:val="3a3a3a" w:themeColor="background2" w:themeShade="40"/>
                <w:lang w:val="en-GB"/>
              </w:rPr>
            </w:r>
          </w:p>
          <w:p w14:paraId="7FF4180B" w14:textId="77777777">
            <w:pPr>
              <w:pBdr/>
              <w:spacing/>
              <w:ind/>
              <w:rPr>
                <w:b/>
                <w:bCs/>
                <w:i/>
                <w:iCs/>
                <w:color w:val="3a3a3a" w:themeColor="background2" w:themeShade="40"/>
                <w:lang w:val="en-GB"/>
              </w:rPr>
            </w:pPr>
            <w:r>
              <w:rPr>
                <w:b/>
                <w:bCs/>
                <w:i/>
                <w:iCs/>
                <w:color w:val="3a3a3a" w:themeColor="background2" w:themeShade="40"/>
                <w:lang w:val="en-GB"/>
              </w:rPr>
            </w:r>
            <w:r>
              <w:rPr>
                <w:b/>
                <w:bCs/>
                <w:i/>
                <w:iCs/>
                <w:color w:val="3a3a3a" w:themeColor="background2" w:themeShade="40"/>
                <w:lang w:val="en-GB"/>
              </w:rPr>
            </w:r>
          </w:p>
        </w:tc>
      </w:tr>
      <w:tr>
        <w:trPr>
          <w:trHeight w:val="569"/>
        </w:trPr>
        <w:tc>
          <w:tcPr>
            <w:tcBorders/>
            <w:tcW w:w="9062" w:type="dxa"/>
          </w:tcPr>
          <w:p w14:paraId="52A88C81" w14:textId="77777777">
            <w:pPr>
              <w:pBdr/>
              <w:spacing/>
              <w:ind/>
              <w:rPr>
                <w:color w:val="3a3a3a" w:themeColor="background2" w:themeShade="40"/>
              </w:rPr>
            </w:pPr>
            <w:r>
              <w:rPr>
                <w:b/>
                <w:bCs/>
                <w:color w:val="3a3a3a" w:themeColor="background2" w:themeShade="40"/>
              </w:rPr>
              <w:t xml:space="preserve">Gesamtstatus:</w:t>
            </w:r>
            <w:r>
              <w:rPr>
                <w:color w:val="3a3a3a" w:themeColor="background2" w:themeShade="40"/>
              </w:rPr>
              <w:t xml:space="preserve"> Gemischte Veränderung </w:t>
            </w:r>
            <w:r>
              <w:rPr>
                <w:color w:val="3a3a3a" w:themeColor="background2" w:themeShade="40"/>
              </w:rPr>
            </w:r>
          </w:p>
          <w:p w14:paraId="0510FC11" w14:textId="77777777">
            <w:pPr>
              <w:pBdr/>
              <w:spacing/>
              <w:ind/>
              <w:rPr>
                <w:color w:val="3a3a3a" w:themeColor="background2" w:themeShade="40"/>
              </w:rPr>
            </w:pPr>
            <w:r>
              <w:rPr>
                <w:b/>
                <w:bCs/>
                <w:color w:val="3a3a3a" w:themeColor="background2" w:themeShade="40"/>
              </w:rPr>
              <w:t xml:space="preserve">Kontext:</w:t>
            </w:r>
            <w:r>
              <w:rPr>
                <w:color w:val="3a3a3a" w:themeColor="background2" w:themeShade="40"/>
              </w:rPr>
              <w:t xml:space="preserve"> [Leber links: Gebessert] [Leber rechts: Progredient] </w:t>
            </w:r>
            <w:r>
              <w:rPr>
                <w:color w:val="3a3a3a" w:themeColor="background2" w:themeShade="40"/>
              </w:rPr>
            </w:r>
          </w:p>
          <w:p w14:paraId="4460CC1C" w14:textId="3CDCE0D9">
            <w:pPr>
              <w:pBdr/>
              <w:spacing/>
              <w:ind/>
              <w:rPr>
                <w:color w:val="3a3a3a" w:themeColor="background2" w:themeShade="40"/>
              </w:rPr>
            </w:pPr>
            <w:r>
              <w:rPr>
                <w:color w:val="3a3a3a" w:themeColor="background2" w:themeShade="40"/>
              </w:rPr>
              <w:t xml:space="preserve">Deutliches Therapieansprechen links nach Radioembolisation (Regression bis Verschwinden der Läsionen), demgegenüber Progredienz rechts mit neuen Läsionen Segment V/VI bei konstant großem Herd Segment VIII.</w:t>
            </w:r>
            <w:r>
              <w:rPr>
                <w:color w:val="3a3a3a" w:themeColor="background2" w:themeShade="40"/>
              </w:rPr>
            </w:r>
          </w:p>
          <w:p w14:paraId="10AB6E98" w14:textId="6F26F3B8">
            <w:pPr>
              <w:pBdr/>
              <w:spacing/>
              <w:ind/>
              <w:rPr>
                <w:b/>
                <w:bCs/>
                <w:color w:val="3a3a3a" w:themeColor="background2" w:themeShade="40"/>
              </w:rPr>
            </w:pPr>
            <w:r>
              <w:rPr>
                <w:b/>
                <w:bCs/>
                <w:color w:val="3a3a3a" w:themeColor="background2" w:themeShade="40"/>
              </w:rPr>
            </w:r>
            <w:r>
              <w:rPr>
                <w:b/>
                <w:bCs/>
                <w:color w:val="3a3a3a" w:themeColor="background2" w:themeShade="40"/>
              </w:rPr>
            </w:r>
          </w:p>
        </w:tc>
      </w:tr>
    </w:tbl>
    <w:p w14:paraId="38B2F9C9">
      <w:pPr>
        <w:pBdr/>
        <w:spacing/>
        <w:ind/>
        <w:rPr>
          <w:highlight w:val="none"/>
          <w:lang w:val="en-GB"/>
        </w:rPr>
      </w:pPr>
      <w:r>
        <w:rPr>
          <w:highlight w:val="none"/>
          <w:lang w:val="en-GB"/>
        </w:rPr>
      </w:r>
      <w:r>
        <w:rPr>
          <w:highlight w:val="none"/>
          <w:lang w:val="en-GB"/>
        </w:rPr>
      </w:r>
      <w:r>
        <w:rPr>
          <w:highlight w:val="none"/>
          <w:lang w:val="en-GB"/>
        </w:rPr>
      </w:r>
    </w:p>
    <w:p w14:paraId="2009D6FF" w14:textId="5FAC72A5">
      <w:pPr>
        <w:pBdr/>
        <w:spacing/>
        <w:ind/>
        <w:rPr>
          <w:highlight w:val="none"/>
          <w:lang w:val="en-GB"/>
        </w:rPr>
      </w:pPr>
      <w:r>
        <w:rPr>
          <w:lang w:val="en-GB"/>
        </w:rPr>
        <w:t xml:space="preserve">To ensure a more efficient </w:t>
      </w:r>
      <w:r>
        <w:rPr>
          <w:lang w:val="en-GB"/>
        </w:rPr>
        <w:t xml:space="preserve">annotation process, the preliminary annotation </w:t>
      </w:r>
      <w:r>
        <w:rPr>
          <w:lang w:val="en-GB"/>
        </w:rPr>
        <w:t xml:space="preserve">wi</w:t>
      </w:r>
      <w:r>
        <w:rPr>
          <w:lang w:val="en-GB"/>
        </w:rPr>
        <w:t xml:space="preserve">ll be done initially with LLMs </w:t>
      </w:r>
      <w:r>
        <w:rPr>
          <w:lang w:val="en-GB"/>
        </w:rPr>
        <w:t xml:space="preserve">and</w:t>
      </w:r>
      <w:r>
        <w:rPr>
          <w:lang w:val="en-GB"/>
        </w:rPr>
        <w:t xml:space="preserve"> </w:t>
      </w:r>
      <w:r>
        <w:rPr>
          <w:lang w:val="en-GB"/>
        </w:rPr>
        <w:t xml:space="preserve">then</w:t>
      </w:r>
      <w:r>
        <w:rPr>
          <w:lang w:val="en-GB"/>
        </w:rPr>
        <w:t xml:space="preserve"> adjusted</w:t>
      </w:r>
      <w:r>
        <w:rPr>
          <w:lang w:val="en-GB"/>
        </w:rPr>
        <w:t xml:space="preserve"> and fine-tuned</w:t>
      </w:r>
      <w:r>
        <w:rPr>
          <w:lang w:val="en-GB"/>
        </w:rPr>
        <w:t xml:space="preserve"> by the</w:t>
      </w:r>
      <w:r>
        <w:rPr>
          <w:lang w:val="en-GB"/>
        </w:rPr>
        <w:t xml:space="preserve"> human</w:t>
      </w:r>
      <w:r>
        <w:rPr>
          <w:lang w:val="en-GB"/>
        </w:rPr>
        <w:t xml:space="preserve"> annotator. </w:t>
      </w:r>
      <w:r>
        <w:rPr>
          <w:lang w:val="en-GB"/>
        </w:rPr>
        <w:t xml:space="preserve">This</w:t>
      </w:r>
      <w:r>
        <w:rPr>
          <w:lang w:val="en-GB"/>
        </w:rPr>
        <w:t xml:space="preserve"> </w:t>
      </w:r>
      <w:r>
        <w:rPr>
          <w:lang w:val="en-GB"/>
        </w:rPr>
        <w:t xml:space="preserve">approach has been proven viable in the related literature</w:t>
      </w:r>
      <w:r>
        <w:rPr>
          <w:lang w:val="en-GB"/>
        </w:rPr>
        <w:t xml:space="preserve">,</w:t>
      </w:r>
      <w:r>
        <w:rPr>
          <w:lang w:val="en-GB"/>
        </w:rPr>
        <w:t xml:space="preserve"> </w:t>
      </w:r>
      <w:r>
        <w:rPr>
          <w:lang w:val="en-GB"/>
        </w:rPr>
        <w:t xml:space="preserve">significantly reducing overall annotation time </w:t>
      </w:r>
      <w:r>
        <w:rPr>
          <w:lang w:val="en-GB"/>
        </w:rPr>
        <w:t xml:space="preserve">by </w:t>
      </w:r>
      <w:r>
        <w:rPr>
          <w:lang w:val="en-GB"/>
        </w:rPr>
        <w:t xml:space="preserve">up to 58% with no considerable loss of quality </w:t>
      </w:r>
      <w:r>
        <w:rPr>
          <w:lang w:val="en-GB"/>
        </w:rPr>
        <w:fldChar w:fldCharType="begin"/>
      </w:r>
      <w:r>
        <w:rPr>
          <w:lang w:val="en-GB"/>
        </w:rPr>
        <w:instrText xml:space="preserve"> ADDIN EN.CITE &lt;EndNote&gt;&lt;Cite&gt;&lt;Author&gt;Goel&lt;/Author&gt;&lt;Year&gt;2023&lt;/Year&gt;&lt;RecNum&gt;202&lt;/RecNum&gt;&lt;DisplayText&gt;(5)&lt;/DisplayText&gt;&lt;record&gt;&lt;rec-number&gt;202&lt;/rec-number&gt;&lt;foreign-keys&gt;&lt;key app="EN" db-id="xvsf9fspczv20heepew</w:instrText>
      </w:r>
      <w:r>
        <w:rPr>
          <w:lang w:val="en-GB"/>
        </w:rPr>
        <w:instrText xml:space="preserve">52r5gtsxax9592tvw" timestamp="1787055224"&gt;202&lt;/key&gt;&lt;/foreign-keys&gt;&lt;ref-type name="Conference Proceedings"&gt;10&lt;/ref-type&gt;&lt;contributors&gt;&lt;authors&gt;&lt;author&gt;Goel, Akshay&lt;/author&gt;&lt;author&gt;Gueta, Almog&lt;/author&gt;&lt;author&gt;Gilon, Omry&lt;/author&gt;&lt;author&gt;Liu, Chang&lt;/author&gt;&lt;</w:instrText>
      </w:r>
      <w:r>
        <w:rPr>
          <w:lang w:val="en-GB"/>
        </w:rPr>
        <w:instrText xml:space="preserve">author&gt;Erell, Sofia&lt;/author&gt;&lt;author&gt;Nguyen, Lan Huong&lt;/author&gt;&lt;author&gt;Hao, Xiaohong&lt;/author&gt;&lt;author&gt;Jaber, Bolous&lt;/author&gt;&lt;author&gt;Reddy, Shashir&lt;/author&gt;&lt;author&gt;Kartha, Rupesh&lt;/author&gt;&lt;/authors&gt;&lt;/contributors&gt;&lt;titles&gt;&lt;title&gt;Llms accelerate annotation for m</w:instrText>
      </w:r>
      <w:r>
        <w:rPr>
          <w:lang w:val="en-GB"/>
        </w:rPr>
        <w:instrText xml:space="preserve">edical information extraction&lt;/title&gt;&lt;secondary-title&gt;machine learning for health (ML4H)&lt;/secondary-title&gt;&lt;/titles&gt;&lt;pages&gt;82-100&lt;/pages&gt;&lt;dates&gt;&lt;year&gt;2023&lt;/year&gt;&lt;/dates&gt;&lt;publisher&gt;PMLR&lt;/publisher&gt;&lt;isbn&gt;2640-3498&lt;/isbn&gt;&lt;urls&gt;&lt;/urls&gt;&lt;/record&gt;&lt;/Cite&gt;&lt;/EndNote&gt;</w:instrText>
      </w:r>
      <w:r>
        <w:rPr>
          <w:lang w:val="en-GB"/>
        </w:rPr>
        <w:fldChar w:fldCharType="separate"/>
      </w:r>
      <w:r>
        <w:rPr>
          <w:lang w:val="en-GB"/>
        </w:rPr>
        <w:t xml:space="preserve">(5)</w:t>
      </w:r>
      <w:r>
        <w:rPr>
          <w:lang w:val="en-GB"/>
        </w:rPr>
        <w:fldChar w:fldCharType="end"/>
      </w:r>
      <w:r>
        <w:rPr>
          <w:lang w:val="en-GB"/>
        </w:rPr>
        <w:t xml:space="preserve">. Using </w:t>
      </w:r>
      <w:r>
        <w:rPr>
          <w:lang w:val="en-GB"/>
          <w14:ligatures w14:val="none"/>
        </w:rPr>
        <w:t xml:space="preserve">a human-in-the-loop approach in annotation tasks can minimize differences across annotators. However, it may also increase anchoring bias if annotators are less willing to double-check preliminary LLM-produced annotations </w:t>
      </w:r>
      <w:r>
        <w:rPr>
          <w:lang w:val="en-GB"/>
          <w14:ligatures w14:val="none"/>
        </w:rPr>
        <w:fldChar w:fldCharType="begin"/>
      </w:r>
      <w:r>
        <w:rPr>
          <w:lang w:val="en-GB"/>
          <w14:ligatures w14:val="none"/>
        </w:rPr>
        <w:instrText xml:space="preserve"> ADDIN EN.CITE &lt;EndNote&gt;&lt;Cite&gt;&lt;Author&gt;Ningtyas&lt;/Author&gt;&lt;Year&gt;2026&lt;/Year&gt;&lt;RecNum&gt;211&lt;/RecNum&gt;&lt;DisplayText&gt;(6)&lt;/DisplayText&gt;&lt;record&gt;&lt;rec-number&gt;211&lt;/rec-number&gt;&lt;foreign-keys&gt;&lt;key app="EN" db-id="xvsf9fspczv20heepew52r5gtsxax9592tvw" time</w:instrText>
      </w:r>
      <w:r>
        <w:rPr>
          <w:lang w:val="en-GB"/>
          <w14:ligatures w14:val="none"/>
        </w:rPr>
        <w:instrText xml:space="preserve">stamp="1787057248"&gt;211&lt;/key&gt;&lt;/foreign-keys&gt;&lt;ref-type name="Conference Proceedings"&gt;10&lt;/ref-type&gt;&lt;contributors&gt;&lt;authors&gt;&lt;author&gt;Ningtyas, Annisa Maulida&lt;/author&gt;&lt;author&gt;Herwanto, Guntur Budi&lt;/author&gt;&lt;author&gt;Sari, Yunita&lt;/author&gt;&lt;author&gt;Putri, Rifki Afina&lt;/a</w:instrText>
      </w:r>
      <w:r>
        <w:rPr>
          <w:lang w:val="en-GB"/>
          <w14:ligatures w14:val="none"/>
        </w:rPr>
        <w:instrText xml:space="preserve">uthor&gt;&lt;author&gt;Kovacevic, Filip&lt;/author&gt;&lt;author&gt;El-Ebshihy, Alaa&lt;/author&gt;&lt;author&gt;Arzt, Varvara&lt;/author&gt;&lt;author&gt;Piroi, Florina&lt;/author&gt;&lt;/authors&gt;&lt;/contributors&gt;&lt;titles&gt;&lt;title&gt;AnnoHID: LLM-Assisted Annotation Framework for Low-Resource Medical Texts&lt;/title&gt;&lt;s</w:instrText>
      </w:r>
      <w:r>
        <w:rPr>
          <w:lang w:val="en-GB"/>
          <w14:ligatures w14:val="none"/>
        </w:rPr>
        <w:instrText xml:space="preserve">econdary-title&gt;Proceedings of the 64th Annual Meeting of the Association for Computational Linguistics (Volume 3: System Demonstrations)&lt;/secondary-title&gt;&lt;/titles&gt;&lt;pages&gt;683-691&lt;/pages&gt;&lt;dates&gt;&lt;year&gt;2026&lt;/year&gt;&lt;/dates&gt;&lt;urls&gt;&lt;/urls&gt;&lt;/record&gt;&lt;/Cite&gt;&lt;/EndNote&gt;</w:instrText>
      </w:r>
      <w:r>
        <w:rPr>
          <w:lang w:val="en-GB"/>
          <w14:ligatures w14:val="none"/>
        </w:rPr>
        <w:fldChar w:fldCharType="separate"/>
      </w:r>
      <w:r>
        <w:rPr>
          <w:lang w:val="en-GB"/>
          <w14:ligatures w14:val="none"/>
        </w:rPr>
        <w:t xml:space="preserve">(6)</w:t>
      </w:r>
      <w:r>
        <w:rPr>
          <w:lang w:val="en-GB"/>
          <w14:ligatures w14:val="none"/>
        </w:rPr>
        <w:fldChar w:fldCharType="end"/>
      </w:r>
      <w:r>
        <w:rPr>
          <w:lang w:val="en-GB"/>
          <w14:ligatures w14:val="none"/>
        </w:rPr>
        <w:t xml:space="preserve">.</w:t>
      </w:r>
      <w:r>
        <w:rPr>
          <w:lang w:val="en-GB"/>
        </w:rPr>
        <w:t xml:space="preserve"> </w:t>
      </w:r>
      <w:r>
        <w:rPr>
          <w:lang w:val="en-GB"/>
        </w:rPr>
      </w:r>
    </w:p>
    <w:p w14:paraId="36C141AA" w14:textId="0AB92B73">
      <w:pPr>
        <w:pBdr/>
        <w:spacing/>
        <w:ind/>
        <w:rPr>
          <w:lang w:val="en-US"/>
        </w:rPr>
      </w:pPr>
      <w:r>
        <w:rPr>
          <w:lang w:val="en-GB"/>
        </w:rPr>
        <w:t xml:space="preserve">For the preliminary annotations, </w:t>
      </w:r>
      <w:r>
        <w:rPr>
          <w:lang w:val="en-US"/>
        </w:rPr>
        <w:t xml:space="preserve">specfic </w:t>
      </w:r>
      <w:r>
        <w:rPr>
          <w:lang w:val="en-GB"/>
        </w:rPr>
        <w:t xml:space="preserve">prompts for the corresponding fields</w:t>
      </w:r>
      <w:r>
        <w:rPr>
          <w:lang w:val="en-US"/>
        </w:rPr>
        <w:t xml:space="preserve"> have been composed with additional assistance of Claude Opus 5</w:t>
      </w:r>
      <w:r>
        <w:rPr>
          <w:lang w:val="en-US"/>
        </w:rPr>
        <w:t xml:space="preserve">. These prompts outline the rules with labels as explained above. There is an additional fallback instruction included for cases in which the current report of a pair does not exist or not available. In this case, LMM is instructed to generate a prediction on the most plausible development from prior report. It was implemented for future testing of predictive annotation and was not used or tested yet. </w:t>
      </w:r>
      <w:r>
        <w:rPr>
          <w:lang w:val="en-US"/>
        </w:rPr>
        <w:t xml:space="preserve">Prompts can be found in the separate document in the same repository.</w:t>
      </w:r>
      <w:r/>
      <w:r>
        <w:rPr>
          <w:lang w:val="en-US"/>
        </w:rPr>
      </w:r>
    </w:p>
    <w:p w14:paraId="434953A5">
      <w:pPr>
        <w:pBdr/>
        <w:spacing/>
        <w:ind/>
        <w:rPr>
          <w:highlight w:val="none"/>
          <w:lang w:val="en-US"/>
        </w:rPr>
      </w:pPr>
      <w:r>
        <w:rPr>
          <w:highlight w:val="none"/>
          <w:lang w:val="en-US"/>
        </w:rPr>
        <w:t xml:space="preserve">The following screenshot illustrates an example with synthetic data of how RadTag with the annotations fields described above looks like:</w:t>
      </w:r>
      <w:r>
        <w:rPr>
          <w:lang w:val="en-GB"/>
        </w:rPr>
      </w:r>
    </w:p>
    <w:p w14:paraId="7D9FEF2F">
      <w:pPr>
        <w:pBdr/>
        <w:spacing/>
        <w:ind/>
        <w:rPr>
          <w:lang w:val="en-GB"/>
        </w:rPr>
      </w:pPr>
      <w:r>
        <w:rPr>
          <w:highlight w:val="none"/>
          <w:lang w:val="en-GB" w:bidi="en-GB"/>
        </w:rPr>
      </w:r>
      <w:r>
        <mc:AlternateContent>
          <mc:Choice Requires="wpg">
            <w:drawing>
              <wp:inline xmlns:wp="http://schemas.openxmlformats.org/drawingml/2006/wordprocessingDrawing" distT="0" distB="0" distL="0" distR="0">
                <wp:extent cx="5760720" cy="327424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5825" name=""/>
                        <pic:cNvPicPr>
                          <a:picLocks noChangeAspect="1"/>
                        </pic:cNvPicPr>
                        <pic:nvPr/>
                      </pic:nvPicPr>
                      <pic:blipFill rotWithShape="1">
                        <a:blip r:embed="rId9"/>
                        <a:stretch/>
                      </pic:blipFill>
                      <pic:spPr bwMode="auto">
                        <a:xfrm>
                          <a:off x="0" y="0"/>
                          <a:ext cx="5760719" cy="32742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60pt;height:257.81pt;mso-wrap-distance-left:0.00pt;mso-wrap-distance-top:0.00pt;mso-wrap-distance-right:0.00pt;mso-wrap-distance-bottom:0.00pt;z-index:1;" stroked="false">
                <v:imagedata r:id="rId9" o:title=""/>
                <o:lock v:ext="edit" rotation="t"/>
              </v:shape>
            </w:pict>
          </mc:Fallback>
        </mc:AlternateContent>
      </w:r>
      <w:r>
        <w:rPr>
          <w:highlight w:val="none"/>
          <w:lang w:val="en-GB" w:bidi="en-GB"/>
        </w:rPr>
      </w:r>
      <w:r/>
      <w:r>
        <w:rPr>
          <w:highlight w:val="none"/>
          <w:lang w:val="en-GB" w:bidi="en-GB"/>
        </w:rPr>
      </w:r>
      <w:r>
        <w:rPr>
          <w:highlight w:val="none"/>
          <w:lang w:val="en-GB" w:bidi="en-GB"/>
        </w:rPr>
      </w:r>
      <w:r>
        <w:rPr>
          <w:highlight w:val="none"/>
          <w:lang w:val="en-GB"/>
        </w:rPr>
      </w:r>
    </w:p>
    <w:p w14:paraId="24F75EC4" w14:textId="5F635118">
      <w:pPr>
        <w:pStyle w:val="680"/>
        <w:pBdr/>
        <w:spacing/>
        <w:ind/>
        <w:rPr>
          <w:lang w:val="en-GB"/>
        </w:rPr>
      </w:pPr>
      <w:r>
        <w:rPr>
          <w:lang w:val="en-US"/>
        </w:rPr>
        <w:t xml:space="preserve">Reference
</w:t>
      </w:r>
      <w:r>
        <w:rPr>
          <w:lang w:val="en-GB"/>
        </w:rPr>
      </w:r>
    </w:p>
    <w:p w14:paraId="6F645B12" w14:textId="77777777">
      <w:pPr>
        <w:pStyle w:val="716"/>
        <w:pBdr/>
        <w:spacing w:after="0"/>
        <w:ind/>
        <w:rPr/>
      </w:pPr>
      <w:r>
        <w:rPr>
          <w:lang w:val="en-GB"/>
        </w:rPr>
        <w:fldChar w:fldCharType="begin"/>
      </w:r>
      <w:r>
        <w:rPr>
          <w:lang w:val="en-GB"/>
        </w:rPr>
        <w:instrText xml:space="preserve"> ADDIN EN.REFLIST </w:instrText>
      </w:r>
      <w:r>
        <w:rPr>
          <w:lang w:val="en-GB"/>
        </w:rPr>
        <w:fldChar w:fldCharType="separate"/>
      </w:r>
      <w:r>
        <w:t xml:space="preserve">1.</w:t>
      </w:r>
      <w:r>
        <w:tab/>
        <w:t xml:space="preserve">Wang X, Figueredo G, Li R, Chen X. Standardizing Longitudinal Radiology Report Evaluation via Large Language Model Annotation. arXiv preprint arXiv:260116753. 2026.</w:t>
      </w:r>
      <w:r/>
    </w:p>
    <w:p w14:paraId="0BE87B96" w14:textId="77777777">
      <w:pPr>
        <w:pStyle w:val="716"/>
        <w:pBdr/>
        <w:spacing w:after="0"/>
        <w:ind/>
        <w:rPr/>
      </w:pPr>
      <w:r>
        <w:t xml:space="preserve">2.</w:t>
      </w:r>
      <w:r>
        <w:tab/>
        <w:t xml:space="preserve">American College of Radiology Committee on L-R. CT/MRI Liver Imaging Reporting and Data System (LI-RADS) v2018. 2018.</w:t>
      </w:r>
      <w:r/>
    </w:p>
    <w:p w14:paraId="65E532B9" w14:textId="77777777">
      <w:pPr>
        <w:pStyle w:val="716"/>
        <w:pBdr/>
        <w:spacing w:after="0"/>
        <w:ind/>
        <w:rPr/>
      </w:pPr>
      <w:r>
        <w:t xml:space="preserve">3.</w:t>
      </w:r>
      <w:r>
        <w:tab/>
        <w:t xml:space="preserve">Chernyak V, Fowler KJ, Kamaya A, Kielar AZ, Elsayes KM, Bashir MR, et al. Liver imaging reporting and data system (LI-RADS) version 2018: imaging of hepatocellular carcinoma in at-risk patients. Radiology. 2018;289(3):816-30.</w:t>
      </w:r>
      <w:r/>
    </w:p>
    <w:p w14:paraId="0730DC5C" w14:textId="77777777">
      <w:pPr>
        <w:pStyle w:val="716"/>
        <w:pBdr/>
        <w:spacing w:after="0"/>
        <w:ind/>
        <w:rPr/>
      </w:pPr>
      <w:r>
        <w:t xml:space="preserve">4.</w:t>
      </w:r>
      <w:r>
        <w:tab/>
        <w:t xml:space="preserve">Marks RM, Masch WR, Chernyak V. LI-RADS: past, present, and future, from the AJR special series on radiology reporting and data systems. American Journal of Roentgenology. 2021;216(2):295-304.</w:t>
      </w:r>
      <w:r/>
    </w:p>
    <w:p w14:paraId="545B1943" w14:textId="77777777">
      <w:pPr>
        <w:pStyle w:val="716"/>
        <w:pBdr/>
        <w:spacing w:after="0"/>
        <w:ind/>
        <w:rPr/>
      </w:pPr>
      <w:r>
        <w:t xml:space="preserve">5.</w:t>
      </w:r>
      <w:r>
        <w:tab/>
        <w:t xml:space="preserve">Goel A, Gueta A, Gilon O, Liu C, Erell S, Nguyen LH, et al., editors. Llms accelerate annotation for medical information extraction. machine learning for health (ML4H); 2023: PMLR.</w:t>
      </w:r>
      <w:r/>
    </w:p>
    <w:p w14:paraId="272E4C04" w14:textId="77777777">
      <w:pPr>
        <w:pStyle w:val="716"/>
        <w:pBdr/>
        <w:spacing/>
        <w:ind/>
        <w:rPr/>
      </w:pPr>
      <w:r>
        <w:t xml:space="preserve">6.</w:t>
      </w:r>
      <w:r>
        <w:tab/>
        <w:t xml:space="preserve">Ningtyas AM, Herwanto GB, Sari Y, P</w:t>
      </w:r>
      <w:r>
        <w:t xml:space="preserve">utri RA, Kovacevic F, El-Ebshihy A, et al., editors. AnnoHID: LLM-Assisted Annotation Framework for Low-Resource Medical Texts. Proceedings of the 64th Annual Meeting of the Association for Computational Linguistics (Volume 3: System Demonstrations); 2026.</w:t>
      </w:r>
      <w:r/>
    </w:p>
    <w:p w14:paraId="545DAFD2" w14:textId="7E79F163">
      <w:pPr>
        <w:pBdr/>
        <w:spacing/>
        <w:ind/>
        <w:rPr>
          <w:lang w:val="en-GB"/>
        </w:rPr>
      </w:pPr>
      <w:r>
        <w:rPr>
          <w:lang w:val="en-GB"/>
        </w:rPr>
        <w:fldChar w:fldCharType="end"/>
      </w:r>
      <w:r>
        <w:rPr>
          <w:lang w:val="en-GB"/>
        </w:rPr>
      </w:r>
    </w:p>
    <w:sectPr>
      <w:footnotePr/>
      <w:endnotePr/>
      <w:type w:val="nextPage"/>
      <w:pgSz w:h="16838" w:orient="portrait" w:w="11906"/>
      <w:pgMar w:top="1417" w:right="1417" w:bottom="1134"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83B2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B39408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EC314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2282C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CF63F8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3346430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5"/>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de-DE"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689"/>
    <w:link w:val="680"/>
    <w:uiPriority w:val="9"/>
    <w:pPr>
      <w:pBdr/>
      <w:spacing/>
      <w:ind/>
    </w:pPr>
    <w:rPr>
      <w:rFonts w:ascii="Arial" w:hAnsi="Arial" w:eastAsia="Arial" w:cs="Arial"/>
      <w:color w:val="0f4761" w:themeColor="accent1" w:themeShade="BF"/>
      <w:sz w:val="40"/>
      <w:szCs w:val="40"/>
    </w:rPr>
  </w:style>
  <w:style w:type="character" w:styleId="151">
    <w:name w:val="Heading 2 Char"/>
    <w:basedOn w:val="689"/>
    <w:link w:val="681"/>
    <w:uiPriority w:val="9"/>
    <w:pPr>
      <w:pBdr/>
      <w:spacing/>
      <w:ind/>
    </w:pPr>
    <w:rPr>
      <w:rFonts w:ascii="Arial" w:hAnsi="Arial" w:eastAsia="Arial" w:cs="Arial"/>
      <w:color w:val="0f4761" w:themeColor="accent1" w:themeShade="BF"/>
      <w:sz w:val="32"/>
      <w:szCs w:val="32"/>
    </w:rPr>
  </w:style>
  <w:style w:type="character" w:styleId="152">
    <w:name w:val="Heading 3 Char"/>
    <w:basedOn w:val="689"/>
    <w:link w:val="682"/>
    <w:uiPriority w:val="9"/>
    <w:pPr>
      <w:pBdr/>
      <w:spacing/>
      <w:ind/>
    </w:pPr>
    <w:rPr>
      <w:rFonts w:ascii="Arial" w:hAnsi="Arial" w:eastAsia="Arial" w:cs="Arial"/>
      <w:color w:val="0f4761" w:themeColor="accent1" w:themeShade="BF"/>
      <w:sz w:val="28"/>
      <w:szCs w:val="28"/>
    </w:rPr>
  </w:style>
  <w:style w:type="character" w:styleId="153">
    <w:name w:val="Heading 4 Char"/>
    <w:basedOn w:val="689"/>
    <w:link w:val="683"/>
    <w:uiPriority w:val="9"/>
    <w:pPr>
      <w:pBdr/>
      <w:spacing/>
      <w:ind/>
    </w:pPr>
    <w:rPr>
      <w:rFonts w:ascii="Arial" w:hAnsi="Arial" w:eastAsia="Arial" w:cs="Arial"/>
      <w:i/>
      <w:iCs/>
      <w:color w:val="0f4761" w:themeColor="accent1" w:themeShade="BF"/>
    </w:rPr>
  </w:style>
  <w:style w:type="character" w:styleId="154">
    <w:name w:val="Heading 5 Char"/>
    <w:basedOn w:val="689"/>
    <w:link w:val="684"/>
    <w:uiPriority w:val="9"/>
    <w:pPr>
      <w:pBdr/>
      <w:spacing/>
      <w:ind/>
    </w:pPr>
    <w:rPr>
      <w:rFonts w:ascii="Arial" w:hAnsi="Arial" w:eastAsia="Arial" w:cs="Arial"/>
      <w:color w:val="0f4761" w:themeColor="accent1" w:themeShade="BF"/>
    </w:rPr>
  </w:style>
  <w:style w:type="character" w:styleId="155">
    <w:name w:val="Heading 6 Char"/>
    <w:basedOn w:val="689"/>
    <w:link w:val="685"/>
    <w:uiPriority w:val="9"/>
    <w:pPr>
      <w:pBdr/>
      <w:spacing/>
      <w:ind/>
    </w:pPr>
    <w:rPr>
      <w:rFonts w:ascii="Arial" w:hAnsi="Arial" w:eastAsia="Arial" w:cs="Arial"/>
      <w:i/>
      <w:iCs/>
      <w:color w:val="595959" w:themeColor="text1" w:themeTint="A6"/>
    </w:rPr>
  </w:style>
  <w:style w:type="character" w:styleId="156">
    <w:name w:val="Heading 7 Char"/>
    <w:basedOn w:val="689"/>
    <w:link w:val="686"/>
    <w:uiPriority w:val="9"/>
    <w:pPr>
      <w:pBdr/>
      <w:spacing/>
      <w:ind/>
    </w:pPr>
    <w:rPr>
      <w:rFonts w:ascii="Arial" w:hAnsi="Arial" w:eastAsia="Arial" w:cs="Arial"/>
      <w:color w:val="595959" w:themeColor="text1" w:themeTint="A6"/>
    </w:rPr>
  </w:style>
  <w:style w:type="character" w:styleId="157">
    <w:name w:val="Heading 8 Char"/>
    <w:basedOn w:val="689"/>
    <w:link w:val="687"/>
    <w:uiPriority w:val="9"/>
    <w:pPr>
      <w:pBdr/>
      <w:spacing/>
      <w:ind/>
    </w:pPr>
    <w:rPr>
      <w:rFonts w:ascii="Arial" w:hAnsi="Arial" w:eastAsia="Arial" w:cs="Arial"/>
      <w:i/>
      <w:iCs/>
      <w:color w:val="272727" w:themeColor="text1" w:themeTint="D8"/>
    </w:rPr>
  </w:style>
  <w:style w:type="character" w:styleId="158">
    <w:name w:val="Heading 9 Char"/>
    <w:basedOn w:val="689"/>
    <w:link w:val="688"/>
    <w:uiPriority w:val="9"/>
    <w:pPr>
      <w:pBdr/>
      <w:spacing/>
      <w:ind/>
    </w:pPr>
    <w:rPr>
      <w:rFonts w:ascii="Arial" w:hAnsi="Arial" w:eastAsia="Arial" w:cs="Arial"/>
      <w:i/>
      <w:iCs/>
      <w:color w:val="272727" w:themeColor="text1" w:themeTint="D8"/>
    </w:rPr>
  </w:style>
  <w:style w:type="character" w:styleId="160">
    <w:name w:val="Title Char"/>
    <w:basedOn w:val="689"/>
    <w:link w:val="701"/>
    <w:uiPriority w:val="10"/>
    <w:pPr>
      <w:pBdr/>
      <w:spacing/>
      <w:ind/>
    </w:pPr>
    <w:rPr>
      <w:rFonts w:ascii="Arial" w:hAnsi="Arial" w:eastAsia="Arial" w:cs="Arial"/>
      <w:spacing w:val="-10"/>
      <w:sz w:val="56"/>
      <w:szCs w:val="56"/>
    </w:rPr>
  </w:style>
  <w:style w:type="character" w:styleId="162">
    <w:name w:val="Subtitle Char"/>
    <w:basedOn w:val="689"/>
    <w:link w:val="703"/>
    <w:uiPriority w:val="11"/>
    <w:pPr>
      <w:pBdr/>
      <w:spacing/>
      <w:ind/>
    </w:pPr>
    <w:rPr>
      <w:color w:val="595959" w:themeColor="text1" w:themeTint="A6"/>
      <w:spacing w:val="15"/>
      <w:sz w:val="28"/>
      <w:szCs w:val="28"/>
    </w:rPr>
  </w:style>
  <w:style w:type="character" w:styleId="164">
    <w:name w:val="Quote Char"/>
    <w:basedOn w:val="689"/>
    <w:link w:val="705"/>
    <w:uiPriority w:val="29"/>
    <w:pPr>
      <w:pBdr/>
      <w:spacing/>
      <w:ind/>
    </w:pPr>
    <w:rPr>
      <w:i/>
      <w:iCs/>
      <w:color w:val="404040" w:themeColor="text1" w:themeTint="BF"/>
    </w:rPr>
  </w:style>
  <w:style w:type="character" w:styleId="168">
    <w:name w:val="Intense Quote Char"/>
    <w:basedOn w:val="689"/>
    <w:link w:val="709"/>
    <w:uiPriority w:val="30"/>
    <w:pPr>
      <w:pBdr/>
      <w:spacing/>
      <w:ind/>
    </w:pPr>
    <w:rPr>
      <w:i/>
      <w:iCs/>
      <w:color w:val="0f4761" w:themeColor="accent1" w:themeShade="BF"/>
    </w:rPr>
  </w:style>
  <w:style w:type="paragraph" w:styleId="170">
    <w:name w:val="No Spacing"/>
    <w:basedOn w:val="679"/>
    <w:uiPriority w:val="1"/>
    <w:qFormat/>
    <w:pPr>
      <w:pBdr/>
      <w:spacing w:after="0" w:line="240" w:lineRule="auto"/>
      <w:ind/>
    </w:pPr>
  </w:style>
  <w:style w:type="character" w:styleId="171">
    <w:name w:val="Subtle Emphasis"/>
    <w:basedOn w:val="689"/>
    <w:uiPriority w:val="19"/>
    <w:qFormat/>
    <w:pPr>
      <w:pBdr/>
      <w:spacing/>
      <w:ind/>
    </w:pPr>
    <w:rPr>
      <w:i/>
      <w:iCs/>
      <w:color w:val="404040" w:themeColor="text1" w:themeTint="BF"/>
    </w:rPr>
  </w:style>
  <w:style w:type="character" w:styleId="172">
    <w:name w:val="Emphasis"/>
    <w:basedOn w:val="689"/>
    <w:uiPriority w:val="20"/>
    <w:qFormat/>
    <w:pPr>
      <w:pBdr/>
      <w:spacing/>
      <w:ind/>
    </w:pPr>
    <w:rPr>
      <w:i/>
      <w:iCs/>
    </w:rPr>
  </w:style>
  <w:style w:type="character" w:styleId="174">
    <w:name w:val="Subtle Reference"/>
    <w:basedOn w:val="689"/>
    <w:uiPriority w:val="31"/>
    <w:qFormat/>
    <w:pPr>
      <w:pBdr/>
      <w:spacing/>
      <w:ind/>
    </w:pPr>
    <w:rPr>
      <w:smallCaps/>
      <w:color w:val="5a5a5a" w:themeColor="text1" w:themeTint="A5"/>
    </w:rPr>
  </w:style>
  <w:style w:type="character" w:styleId="175">
    <w:name w:val="Book Title"/>
    <w:basedOn w:val="689"/>
    <w:uiPriority w:val="33"/>
    <w:qFormat/>
    <w:pPr>
      <w:pBdr/>
      <w:spacing/>
      <w:ind/>
    </w:pPr>
    <w:rPr>
      <w:b/>
      <w:bCs/>
      <w:i/>
      <w:iCs/>
      <w:spacing w:val="5"/>
    </w:rPr>
  </w:style>
  <w:style w:type="paragraph" w:styleId="176">
    <w:name w:val="Header"/>
    <w:basedOn w:val="679"/>
    <w:link w:val="177"/>
    <w:uiPriority w:val="99"/>
    <w:unhideWhenUsed/>
    <w:pPr>
      <w:pBdr/>
      <w:tabs>
        <w:tab w:val="center" w:leader="none" w:pos="4844"/>
        <w:tab w:val="right" w:leader="none" w:pos="9689"/>
      </w:tabs>
      <w:spacing w:after="0" w:line="240" w:lineRule="auto"/>
      <w:ind/>
    </w:pPr>
  </w:style>
  <w:style w:type="character" w:styleId="177">
    <w:name w:val="Header Char"/>
    <w:basedOn w:val="689"/>
    <w:link w:val="176"/>
    <w:uiPriority w:val="99"/>
    <w:pPr>
      <w:pBdr/>
      <w:spacing/>
      <w:ind/>
    </w:pPr>
  </w:style>
  <w:style w:type="paragraph" w:styleId="178">
    <w:name w:val="Footer"/>
    <w:basedOn w:val="679"/>
    <w:link w:val="179"/>
    <w:uiPriority w:val="99"/>
    <w:unhideWhenUsed/>
    <w:pPr>
      <w:pBdr/>
      <w:tabs>
        <w:tab w:val="center" w:leader="none" w:pos="4844"/>
        <w:tab w:val="right" w:leader="none" w:pos="9689"/>
      </w:tabs>
      <w:spacing w:after="0" w:line="240" w:lineRule="auto"/>
      <w:ind/>
    </w:pPr>
  </w:style>
  <w:style w:type="character" w:styleId="179">
    <w:name w:val="Footer Char"/>
    <w:basedOn w:val="689"/>
    <w:link w:val="178"/>
    <w:uiPriority w:val="99"/>
    <w:pPr>
      <w:pBdr/>
      <w:spacing/>
      <w:ind/>
    </w:pPr>
  </w:style>
  <w:style w:type="paragraph" w:styleId="180">
    <w:name w:val="Caption"/>
    <w:basedOn w:val="679"/>
    <w:next w:val="679"/>
    <w:uiPriority w:val="35"/>
    <w:unhideWhenUsed/>
    <w:qFormat/>
    <w:pPr>
      <w:pBdr/>
      <w:spacing w:after="200" w:line="240" w:lineRule="auto"/>
      <w:ind/>
    </w:pPr>
    <w:rPr>
      <w:i/>
      <w:iCs/>
      <w:color w:val="0e2841" w:themeColor="text2"/>
      <w:sz w:val="18"/>
      <w:szCs w:val="18"/>
    </w:rPr>
  </w:style>
  <w:style w:type="paragraph" w:styleId="181">
    <w:name w:val="footnote text"/>
    <w:basedOn w:val="679"/>
    <w:link w:val="182"/>
    <w:uiPriority w:val="99"/>
    <w:semiHidden/>
    <w:unhideWhenUsed/>
    <w:pPr>
      <w:pBdr/>
      <w:spacing w:after="0" w:line="240" w:lineRule="auto"/>
      <w:ind/>
    </w:pPr>
    <w:rPr>
      <w:sz w:val="20"/>
      <w:szCs w:val="20"/>
    </w:rPr>
  </w:style>
  <w:style w:type="character" w:styleId="182">
    <w:name w:val="Footnote Text Char"/>
    <w:basedOn w:val="689"/>
    <w:link w:val="181"/>
    <w:uiPriority w:val="99"/>
    <w:semiHidden/>
    <w:pPr>
      <w:pBdr/>
      <w:spacing/>
      <w:ind/>
    </w:pPr>
    <w:rPr>
      <w:sz w:val="20"/>
      <w:szCs w:val="20"/>
    </w:rPr>
  </w:style>
  <w:style w:type="character" w:styleId="183">
    <w:name w:val="footnote reference"/>
    <w:basedOn w:val="689"/>
    <w:uiPriority w:val="99"/>
    <w:semiHidden/>
    <w:unhideWhenUsed/>
    <w:pPr>
      <w:pBdr/>
      <w:spacing/>
      <w:ind/>
    </w:pPr>
    <w:rPr>
      <w:vertAlign w:val="superscript"/>
    </w:rPr>
  </w:style>
  <w:style w:type="paragraph" w:styleId="184">
    <w:name w:val="endnote text"/>
    <w:basedOn w:val="679"/>
    <w:link w:val="185"/>
    <w:uiPriority w:val="99"/>
    <w:semiHidden/>
    <w:unhideWhenUsed/>
    <w:pPr>
      <w:pBdr/>
      <w:spacing w:after="0" w:line="240" w:lineRule="auto"/>
      <w:ind/>
    </w:pPr>
    <w:rPr>
      <w:sz w:val="20"/>
      <w:szCs w:val="20"/>
    </w:rPr>
  </w:style>
  <w:style w:type="character" w:styleId="185">
    <w:name w:val="Endnote Text Char"/>
    <w:basedOn w:val="689"/>
    <w:link w:val="184"/>
    <w:uiPriority w:val="99"/>
    <w:semiHidden/>
    <w:pPr>
      <w:pBdr/>
      <w:spacing/>
      <w:ind/>
    </w:pPr>
    <w:rPr>
      <w:sz w:val="20"/>
      <w:szCs w:val="20"/>
    </w:rPr>
  </w:style>
  <w:style w:type="character" w:styleId="186">
    <w:name w:val="endnote reference"/>
    <w:basedOn w:val="689"/>
    <w:uiPriority w:val="99"/>
    <w:semiHidden/>
    <w:unhideWhenUsed/>
    <w:pPr>
      <w:pBdr/>
      <w:spacing/>
      <w:ind/>
    </w:pPr>
    <w:rPr>
      <w:vertAlign w:val="superscript"/>
    </w:rPr>
  </w:style>
  <w:style w:type="character" w:styleId="187">
    <w:name w:val="Hyperlink"/>
    <w:basedOn w:val="689"/>
    <w:uiPriority w:val="99"/>
    <w:unhideWhenUsed/>
    <w:pPr>
      <w:pBdr/>
      <w:spacing/>
      <w:ind/>
    </w:pPr>
    <w:rPr>
      <w:color w:val="0563c1" w:themeColor="hyperlink"/>
      <w:u w:val="single"/>
    </w:rPr>
  </w:style>
  <w:style w:type="character" w:styleId="188">
    <w:name w:val="FollowedHyperlink"/>
    <w:basedOn w:val="689"/>
    <w:uiPriority w:val="99"/>
    <w:semiHidden/>
    <w:unhideWhenUsed/>
    <w:pPr>
      <w:pBdr/>
      <w:spacing/>
      <w:ind/>
    </w:pPr>
    <w:rPr>
      <w:color w:val="954f72" w:themeColor="followedHyperlink"/>
      <w:u w:val="single"/>
    </w:rPr>
  </w:style>
  <w:style w:type="paragraph" w:styleId="189">
    <w:name w:val="toc 1"/>
    <w:basedOn w:val="679"/>
    <w:next w:val="679"/>
    <w:uiPriority w:val="39"/>
    <w:unhideWhenUsed/>
    <w:pPr>
      <w:pBdr/>
      <w:spacing w:after="100"/>
      <w:ind/>
    </w:pPr>
  </w:style>
  <w:style w:type="paragraph" w:styleId="190">
    <w:name w:val="toc 2"/>
    <w:basedOn w:val="679"/>
    <w:next w:val="679"/>
    <w:uiPriority w:val="39"/>
    <w:unhideWhenUsed/>
    <w:pPr>
      <w:pBdr/>
      <w:spacing w:after="100"/>
      <w:ind w:left="220"/>
    </w:pPr>
  </w:style>
  <w:style w:type="paragraph" w:styleId="191">
    <w:name w:val="toc 3"/>
    <w:basedOn w:val="679"/>
    <w:next w:val="679"/>
    <w:uiPriority w:val="39"/>
    <w:unhideWhenUsed/>
    <w:pPr>
      <w:pBdr/>
      <w:spacing w:after="100"/>
      <w:ind w:left="440"/>
    </w:pPr>
  </w:style>
  <w:style w:type="paragraph" w:styleId="192">
    <w:name w:val="toc 4"/>
    <w:basedOn w:val="679"/>
    <w:next w:val="679"/>
    <w:uiPriority w:val="39"/>
    <w:unhideWhenUsed/>
    <w:pPr>
      <w:pBdr/>
      <w:spacing w:after="100"/>
      <w:ind w:left="660"/>
    </w:pPr>
  </w:style>
  <w:style w:type="paragraph" w:styleId="193">
    <w:name w:val="toc 5"/>
    <w:basedOn w:val="679"/>
    <w:next w:val="679"/>
    <w:uiPriority w:val="39"/>
    <w:unhideWhenUsed/>
    <w:pPr>
      <w:pBdr/>
      <w:spacing w:after="100"/>
      <w:ind w:left="880"/>
    </w:pPr>
  </w:style>
  <w:style w:type="paragraph" w:styleId="194">
    <w:name w:val="toc 6"/>
    <w:basedOn w:val="679"/>
    <w:next w:val="679"/>
    <w:uiPriority w:val="39"/>
    <w:unhideWhenUsed/>
    <w:pPr>
      <w:pBdr/>
      <w:spacing w:after="100"/>
      <w:ind w:left="1100"/>
    </w:pPr>
  </w:style>
  <w:style w:type="paragraph" w:styleId="195">
    <w:name w:val="toc 7"/>
    <w:basedOn w:val="679"/>
    <w:next w:val="679"/>
    <w:uiPriority w:val="39"/>
    <w:unhideWhenUsed/>
    <w:pPr>
      <w:pBdr/>
      <w:spacing w:after="100"/>
      <w:ind w:left="1320"/>
    </w:pPr>
  </w:style>
  <w:style w:type="paragraph" w:styleId="196">
    <w:name w:val="toc 8"/>
    <w:basedOn w:val="679"/>
    <w:next w:val="679"/>
    <w:uiPriority w:val="39"/>
    <w:unhideWhenUsed/>
    <w:pPr>
      <w:pBdr/>
      <w:spacing w:after="100"/>
      <w:ind w:left="1540"/>
    </w:pPr>
  </w:style>
  <w:style w:type="paragraph" w:styleId="197">
    <w:name w:val="toc 9"/>
    <w:basedOn w:val="679"/>
    <w:next w:val="679"/>
    <w:uiPriority w:val="39"/>
    <w:unhideWhenUsed/>
    <w:pPr>
      <w:pBdr/>
      <w:spacing w:after="100"/>
      <w:ind w:left="1760"/>
    </w:pPr>
  </w:style>
  <w:style w:type="character" w:styleId="198">
    <w:name w:val="Placeholder Text"/>
    <w:basedOn w:val="68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9"/>
    <w:next w:val="679"/>
    <w:uiPriority w:val="99"/>
    <w:unhideWhenUsed/>
    <w:pPr>
      <w:pBdr/>
      <w:spacing w:after="0" w:afterAutospacing="0"/>
      <w:ind/>
    </w:pPr>
  </w:style>
  <w:style w:type="paragraph" w:styleId="679" w:default="1">
    <w:name w:val="Normal"/>
    <w:qFormat/>
    <w:pPr>
      <w:pBdr/>
      <w:spacing/>
      <w:ind/>
    </w:pPr>
  </w:style>
  <w:style w:type="paragraph" w:styleId="680">
    <w:name w:val="Heading 1"/>
    <w:basedOn w:val="679"/>
    <w:next w:val="679"/>
    <w:link w:val="69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81">
    <w:name w:val="Heading 2"/>
    <w:basedOn w:val="679"/>
    <w:next w:val="679"/>
    <w:link w:val="69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82">
    <w:name w:val="Heading 3"/>
    <w:basedOn w:val="679"/>
    <w:next w:val="679"/>
    <w:link w:val="69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83">
    <w:name w:val="Heading 4"/>
    <w:basedOn w:val="679"/>
    <w:next w:val="679"/>
    <w:link w:val="69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84">
    <w:name w:val="Heading 5"/>
    <w:basedOn w:val="679"/>
    <w:next w:val="679"/>
    <w:link w:val="69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85">
    <w:name w:val="Heading 6"/>
    <w:basedOn w:val="679"/>
    <w:next w:val="679"/>
    <w:link w:val="69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86">
    <w:name w:val="Heading 7"/>
    <w:basedOn w:val="679"/>
    <w:next w:val="679"/>
    <w:link w:val="69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87">
    <w:name w:val="Heading 8"/>
    <w:basedOn w:val="679"/>
    <w:next w:val="679"/>
    <w:link w:val="69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88">
    <w:name w:val="Heading 9"/>
    <w:basedOn w:val="679"/>
    <w:next w:val="679"/>
    <w:link w:val="70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89" w:default="1">
    <w:name w:val="Default Paragraph Font"/>
    <w:uiPriority w:val="1"/>
    <w:semiHidden/>
    <w:unhideWhenUsed/>
    <w:pPr>
      <w:pBdr/>
      <w:spacing/>
      <w:ind/>
    </w:pPr>
  </w:style>
  <w:style w:type="table" w:styleId="6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1" w:default="1">
    <w:name w:val="No List"/>
    <w:uiPriority w:val="99"/>
    <w:semiHidden/>
    <w:unhideWhenUsed/>
    <w:pPr>
      <w:pBdr/>
      <w:spacing/>
      <w:ind/>
    </w:pPr>
  </w:style>
  <w:style w:type="character" w:styleId="692" w:customStyle="1">
    <w:name w:val="Überschrift 1 Zchn"/>
    <w:basedOn w:val="689"/>
    <w:link w:val="680"/>
    <w:uiPriority w:val="9"/>
    <w:pPr>
      <w:pBdr/>
      <w:spacing/>
      <w:ind/>
    </w:pPr>
    <w:rPr>
      <w:rFonts w:asciiTheme="majorHAnsi" w:hAnsiTheme="majorHAnsi" w:eastAsiaTheme="majorEastAsia" w:cstheme="majorBidi"/>
      <w:color w:val="0f4761" w:themeColor="accent1" w:themeShade="BF"/>
      <w:sz w:val="40"/>
      <w:szCs w:val="40"/>
    </w:rPr>
  </w:style>
  <w:style w:type="character" w:styleId="693" w:customStyle="1">
    <w:name w:val="Überschrift 2 Zchn"/>
    <w:basedOn w:val="689"/>
    <w:link w:val="68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94" w:customStyle="1">
    <w:name w:val="Überschrift 3 Zchn"/>
    <w:basedOn w:val="689"/>
    <w:link w:val="682"/>
    <w:uiPriority w:val="9"/>
    <w:semiHidden/>
    <w:pPr>
      <w:pBdr/>
      <w:spacing/>
      <w:ind/>
    </w:pPr>
    <w:rPr>
      <w:rFonts w:eastAsiaTheme="majorEastAsia" w:cstheme="majorBidi"/>
      <w:color w:val="0f4761" w:themeColor="accent1" w:themeShade="BF"/>
      <w:sz w:val="28"/>
      <w:szCs w:val="28"/>
    </w:rPr>
  </w:style>
  <w:style w:type="character" w:styleId="695" w:customStyle="1">
    <w:name w:val="Überschrift 4 Zchn"/>
    <w:basedOn w:val="689"/>
    <w:link w:val="683"/>
    <w:uiPriority w:val="9"/>
    <w:semiHidden/>
    <w:pPr>
      <w:pBdr/>
      <w:spacing/>
      <w:ind/>
    </w:pPr>
    <w:rPr>
      <w:rFonts w:eastAsiaTheme="majorEastAsia" w:cstheme="majorBidi"/>
      <w:i/>
      <w:iCs/>
      <w:color w:val="0f4761" w:themeColor="accent1" w:themeShade="BF"/>
    </w:rPr>
  </w:style>
  <w:style w:type="character" w:styleId="696" w:customStyle="1">
    <w:name w:val="Überschrift 5 Zchn"/>
    <w:basedOn w:val="689"/>
    <w:link w:val="684"/>
    <w:uiPriority w:val="9"/>
    <w:semiHidden/>
    <w:pPr>
      <w:pBdr/>
      <w:spacing/>
      <w:ind/>
    </w:pPr>
    <w:rPr>
      <w:rFonts w:eastAsiaTheme="majorEastAsia" w:cstheme="majorBidi"/>
      <w:color w:val="0f4761" w:themeColor="accent1" w:themeShade="BF"/>
    </w:rPr>
  </w:style>
  <w:style w:type="character" w:styleId="697" w:customStyle="1">
    <w:name w:val="Überschrift 6 Zchn"/>
    <w:basedOn w:val="689"/>
    <w:link w:val="685"/>
    <w:uiPriority w:val="9"/>
    <w:semiHidden/>
    <w:pPr>
      <w:pBdr/>
      <w:spacing/>
      <w:ind/>
    </w:pPr>
    <w:rPr>
      <w:rFonts w:eastAsiaTheme="majorEastAsia" w:cstheme="majorBidi"/>
      <w:i/>
      <w:iCs/>
      <w:color w:val="595959" w:themeColor="text1" w:themeTint="A6"/>
    </w:rPr>
  </w:style>
  <w:style w:type="character" w:styleId="698" w:customStyle="1">
    <w:name w:val="Überschrift 7 Zchn"/>
    <w:basedOn w:val="689"/>
    <w:link w:val="686"/>
    <w:uiPriority w:val="9"/>
    <w:semiHidden/>
    <w:pPr>
      <w:pBdr/>
      <w:spacing/>
      <w:ind/>
    </w:pPr>
    <w:rPr>
      <w:rFonts w:eastAsiaTheme="majorEastAsia" w:cstheme="majorBidi"/>
      <w:color w:val="595959" w:themeColor="text1" w:themeTint="A6"/>
    </w:rPr>
  </w:style>
  <w:style w:type="character" w:styleId="699" w:customStyle="1">
    <w:name w:val="Überschrift 8 Zchn"/>
    <w:basedOn w:val="689"/>
    <w:link w:val="687"/>
    <w:uiPriority w:val="9"/>
    <w:semiHidden/>
    <w:pPr>
      <w:pBdr/>
      <w:spacing/>
      <w:ind/>
    </w:pPr>
    <w:rPr>
      <w:rFonts w:eastAsiaTheme="majorEastAsia" w:cstheme="majorBidi"/>
      <w:i/>
      <w:iCs/>
      <w:color w:val="272727" w:themeColor="text1" w:themeTint="D8"/>
    </w:rPr>
  </w:style>
  <w:style w:type="character" w:styleId="700" w:customStyle="1">
    <w:name w:val="Überschrift 9 Zchn"/>
    <w:basedOn w:val="689"/>
    <w:link w:val="688"/>
    <w:uiPriority w:val="9"/>
    <w:semiHidden/>
    <w:pPr>
      <w:pBdr/>
      <w:spacing/>
      <w:ind/>
    </w:pPr>
    <w:rPr>
      <w:rFonts w:eastAsiaTheme="majorEastAsia" w:cstheme="majorBidi"/>
      <w:color w:val="272727" w:themeColor="text1" w:themeTint="D8"/>
    </w:rPr>
  </w:style>
  <w:style w:type="paragraph" w:styleId="701">
    <w:name w:val="Title"/>
    <w:basedOn w:val="679"/>
    <w:next w:val="679"/>
    <w:link w:val="70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02" w:customStyle="1">
    <w:name w:val="Titel Zchn"/>
    <w:basedOn w:val="689"/>
    <w:link w:val="701"/>
    <w:uiPriority w:val="10"/>
    <w:pPr>
      <w:pBdr/>
      <w:spacing/>
      <w:ind/>
    </w:pPr>
    <w:rPr>
      <w:rFonts w:asciiTheme="majorHAnsi" w:hAnsiTheme="majorHAnsi" w:eastAsiaTheme="majorEastAsia" w:cstheme="majorBidi"/>
      <w:spacing w:val="-10"/>
      <w:sz w:val="56"/>
      <w:szCs w:val="56"/>
    </w:rPr>
  </w:style>
  <w:style w:type="paragraph" w:styleId="703">
    <w:name w:val="Subtitle"/>
    <w:basedOn w:val="679"/>
    <w:next w:val="679"/>
    <w:link w:val="704"/>
    <w:uiPriority w:val="11"/>
    <w:qFormat/>
    <w:pPr>
      <w:numPr>
        <w:ilvl w:val="1"/>
      </w:numPr>
      <w:pBdr/>
      <w:spacing/>
      <w:ind/>
    </w:pPr>
    <w:rPr>
      <w:rFonts w:eastAsiaTheme="majorEastAsia" w:cstheme="majorBidi"/>
      <w:color w:val="595959" w:themeColor="text1" w:themeTint="A6"/>
      <w:spacing w:val="15"/>
      <w:sz w:val="28"/>
      <w:szCs w:val="28"/>
    </w:rPr>
  </w:style>
  <w:style w:type="character" w:styleId="704" w:customStyle="1">
    <w:name w:val="Untertitel Zchn"/>
    <w:basedOn w:val="689"/>
    <w:link w:val="703"/>
    <w:uiPriority w:val="11"/>
    <w:pPr>
      <w:pBdr/>
      <w:spacing/>
      <w:ind/>
    </w:pPr>
    <w:rPr>
      <w:rFonts w:eastAsiaTheme="majorEastAsia" w:cstheme="majorBidi"/>
      <w:color w:val="595959" w:themeColor="text1" w:themeTint="A6"/>
      <w:spacing w:val="15"/>
      <w:sz w:val="28"/>
      <w:szCs w:val="28"/>
    </w:rPr>
  </w:style>
  <w:style w:type="paragraph" w:styleId="705">
    <w:name w:val="Quote"/>
    <w:basedOn w:val="679"/>
    <w:next w:val="679"/>
    <w:link w:val="706"/>
    <w:uiPriority w:val="29"/>
    <w:qFormat/>
    <w:pPr>
      <w:pBdr/>
      <w:spacing w:before="160"/>
      <w:ind/>
      <w:jc w:val="center"/>
    </w:pPr>
    <w:rPr>
      <w:i/>
      <w:iCs/>
      <w:color w:val="404040" w:themeColor="text1" w:themeTint="BF"/>
    </w:rPr>
  </w:style>
  <w:style w:type="character" w:styleId="706" w:customStyle="1">
    <w:name w:val="Zitat Zchn"/>
    <w:basedOn w:val="689"/>
    <w:link w:val="705"/>
    <w:uiPriority w:val="29"/>
    <w:pPr>
      <w:pBdr/>
      <w:spacing/>
      <w:ind/>
    </w:pPr>
    <w:rPr>
      <w:i/>
      <w:iCs/>
      <w:color w:val="404040" w:themeColor="text1" w:themeTint="BF"/>
    </w:rPr>
  </w:style>
  <w:style w:type="paragraph" w:styleId="707">
    <w:name w:val="List Paragraph"/>
    <w:basedOn w:val="679"/>
    <w:uiPriority w:val="34"/>
    <w:qFormat/>
    <w:pPr>
      <w:pBdr/>
      <w:spacing/>
      <w:ind w:left="720"/>
      <w:contextualSpacing w:val="true"/>
    </w:pPr>
  </w:style>
  <w:style w:type="character" w:styleId="708">
    <w:name w:val="Intense Emphasis"/>
    <w:basedOn w:val="689"/>
    <w:uiPriority w:val="21"/>
    <w:qFormat/>
    <w:pPr>
      <w:pBdr/>
      <w:spacing/>
      <w:ind/>
    </w:pPr>
    <w:rPr>
      <w:i/>
      <w:iCs/>
      <w:color w:val="0f4761" w:themeColor="accent1" w:themeShade="BF"/>
    </w:rPr>
  </w:style>
  <w:style w:type="paragraph" w:styleId="709">
    <w:name w:val="Intense Quote"/>
    <w:basedOn w:val="679"/>
    <w:next w:val="679"/>
    <w:link w:val="71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10" w:customStyle="1">
    <w:name w:val="Intensives Zitat Zchn"/>
    <w:basedOn w:val="689"/>
    <w:link w:val="709"/>
    <w:uiPriority w:val="30"/>
    <w:pPr>
      <w:pBdr/>
      <w:spacing/>
      <w:ind/>
    </w:pPr>
    <w:rPr>
      <w:i/>
      <w:iCs/>
      <w:color w:val="0f4761" w:themeColor="accent1" w:themeShade="BF"/>
    </w:rPr>
  </w:style>
  <w:style w:type="character" w:styleId="711">
    <w:name w:val="Intense Reference"/>
    <w:basedOn w:val="689"/>
    <w:uiPriority w:val="32"/>
    <w:qFormat/>
    <w:pPr>
      <w:pBdr/>
      <w:spacing/>
      <w:ind/>
    </w:pPr>
    <w:rPr>
      <w:b/>
      <w:bCs/>
      <w:smallCaps/>
      <w:color w:val="0f4761" w:themeColor="accent1" w:themeShade="BF"/>
      <w:spacing w:val="5"/>
    </w:rPr>
  </w:style>
  <w:style w:type="table" w:styleId="712">
    <w:name w:val="Table Grid"/>
    <w:basedOn w:val="69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13">
    <w:name w:val="Strong"/>
    <w:basedOn w:val="689"/>
    <w:uiPriority w:val="22"/>
    <w:qFormat/>
    <w:pPr>
      <w:pBdr/>
      <w:spacing/>
      <w:ind/>
    </w:pPr>
    <w:rPr>
      <w:b/>
      <w:bCs/>
    </w:rPr>
  </w:style>
  <w:style w:type="paragraph" w:styleId="714" w:customStyle="1">
    <w:name w:val="EndNote Bibliography Title"/>
    <w:basedOn w:val="679"/>
    <w:link w:val="715"/>
    <w:pPr>
      <w:pBdr/>
      <w:spacing w:after="0"/>
      <w:ind/>
      <w:jc w:val="center"/>
    </w:pPr>
    <w:rPr>
      <w:rFonts w:ascii="Aptos" w:hAnsi="Aptos"/>
      <w:lang w:val="en-US"/>
    </w:rPr>
  </w:style>
  <w:style w:type="character" w:styleId="715" w:customStyle="1">
    <w:name w:val="EndNote Bibliography Title Zchn"/>
    <w:basedOn w:val="689"/>
    <w:link w:val="714"/>
    <w:pPr>
      <w:pBdr/>
      <w:spacing/>
      <w:ind/>
    </w:pPr>
    <w:rPr>
      <w:rFonts w:ascii="Aptos" w:hAnsi="Aptos"/>
      <w:lang w:val="en-US"/>
    </w:rPr>
  </w:style>
  <w:style w:type="paragraph" w:styleId="716" w:customStyle="1">
    <w:name w:val="EndNote Bibliography"/>
    <w:basedOn w:val="679"/>
    <w:link w:val="717"/>
    <w:pPr>
      <w:pBdr/>
      <w:spacing w:line="240" w:lineRule="auto"/>
      <w:ind/>
    </w:pPr>
    <w:rPr>
      <w:rFonts w:ascii="Aptos" w:hAnsi="Aptos"/>
      <w:lang w:val="en-US"/>
    </w:rPr>
  </w:style>
  <w:style w:type="character" w:styleId="717" w:customStyle="1">
    <w:name w:val="EndNote Bibliography Zchn"/>
    <w:basedOn w:val="689"/>
    <w:link w:val="716"/>
    <w:pPr>
      <w:pBdr/>
      <w:spacing/>
      <w:ind/>
    </w:pPr>
    <w:rPr>
      <w:rFonts w:ascii="Aptos" w:hAnsi="Aptos"/>
      <w:lang w:val="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Sushko, Dmitry</dc:creator>
  <cp:keywords/>
  <dc:description/>
  <cp:revision>39</cp:revision>
  <dcterms:created xsi:type="dcterms:W3CDTF">2026-08-18T08:42:00Z</dcterms:created>
  <dcterms:modified xsi:type="dcterms:W3CDTF">2026-10-19T06:39:40Z</dcterms:modified>
</cp:coreProperties>
</file>