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46" w:rsidRDefault="00CD6646" w:rsidP="00CD6646">
      <w:pPr>
        <w:pStyle w:val="1"/>
        <w:numPr>
          <w:ilvl w:val="0"/>
          <w:numId w:val="1"/>
        </w:numPr>
        <w:tabs>
          <w:tab w:val="left" w:pos="360"/>
        </w:tabs>
        <w:spacing w:before="120" w:after="0" w:line="276" w:lineRule="auto"/>
        <w:ind w:left="0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Предмет договора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sz w:val="22"/>
          <w:szCs w:val="22"/>
        </w:rPr>
      </w:pPr>
      <w:r>
        <w:rPr>
          <w:rFonts w:cs="Times New Roman"/>
          <w:sz w:val="22"/>
          <w:szCs w:val="22"/>
        </w:rPr>
        <w:t xml:space="preserve">По настоящему Договору Заказчик обязуется принять и оплатить, а Исполнитель, с помощью принадлежащих ему исключительных прав на программы для ЭВМ </w:t>
      </w:r>
      <w:r>
        <w:rPr>
          <w:b/>
          <w:sz w:val="22"/>
          <w:szCs w:val="22"/>
        </w:rPr>
        <w:t>«</w:t>
      </w:r>
      <w:r>
        <w:rPr>
          <w:rFonts w:cs="Times New Roman"/>
          <w:sz w:val="22"/>
          <w:szCs w:val="22"/>
          <w:lang w:val="en-US"/>
        </w:rPr>
        <w:t>BFG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  <w:lang w:val="en-US"/>
        </w:rPr>
        <w:t>CMT</w:t>
      </w:r>
      <w:r>
        <w:rPr>
          <w:b/>
          <w:sz w:val="22"/>
          <w:szCs w:val="22"/>
        </w:rPr>
        <w:t xml:space="preserve">» </w:t>
      </w:r>
      <w:r>
        <w:rPr>
          <w:sz w:val="22"/>
          <w:szCs w:val="22"/>
        </w:rPr>
        <w:t>и</w:t>
      </w:r>
      <w:r>
        <w:rPr>
          <w:b/>
          <w:sz w:val="22"/>
          <w:szCs w:val="22"/>
        </w:rPr>
        <w:t xml:space="preserve"> «</w:t>
      </w:r>
      <w:r>
        <w:rPr>
          <w:rFonts w:cs="Times New Roman"/>
          <w:sz w:val="22"/>
          <w:szCs w:val="22"/>
          <w:lang w:val="en-US"/>
        </w:rPr>
        <w:t>BFG</w:t>
      </w:r>
      <w:r>
        <w:rPr>
          <w:rFonts w:cs="Times New Roman"/>
          <w:sz w:val="22"/>
          <w:szCs w:val="22"/>
        </w:rPr>
        <w:t xml:space="preserve"> QRM</w:t>
      </w:r>
      <w:r>
        <w:rPr>
          <w:b/>
          <w:sz w:val="22"/>
          <w:szCs w:val="22"/>
        </w:rPr>
        <w:t>»</w:t>
      </w:r>
      <w:r>
        <w:rPr>
          <w:rFonts w:cs="Times New Roman"/>
          <w:sz w:val="22"/>
          <w:szCs w:val="22"/>
        </w:rPr>
        <w:t xml:space="preserve"> оказать консалтинговые услуги по разработке плана мероприятий по оптимизации бизнес-процессов планирования и диспетчеризации производственной системы предприятия</w:t>
      </w:r>
      <w:bookmarkStart w:id="0" w:name="_Ref191443898"/>
      <w:r>
        <w:rPr>
          <w:rFonts w:cs="Times New Roman"/>
          <w:sz w:val="22"/>
          <w:szCs w:val="22"/>
        </w:rPr>
        <w:t>, с дальнейшей реализацией внедрения системы планирования и диспетчеризации,</w:t>
      </w:r>
      <w:r>
        <w:rPr>
          <w:rFonts w:cs="Times New Roman"/>
          <w:i/>
          <w:sz w:val="22"/>
          <w:szCs w:val="22"/>
        </w:rPr>
        <w:t xml:space="preserve"> при заданных ограничениях, приводящих к целевым результатам</w:t>
      </w:r>
      <w:r>
        <w:rPr>
          <w:rFonts w:cs="Times New Roman"/>
          <w:sz w:val="22"/>
          <w:szCs w:val="22"/>
        </w:rPr>
        <w:t>, именуемые в дальнейшем Услуги, в объеме и на условиях, предусмотренных настоящим Договором</w:t>
      </w:r>
      <w:bookmarkEnd w:id="0"/>
      <w:r>
        <w:rPr>
          <w:rFonts w:cs="Times New Roman"/>
          <w:sz w:val="22"/>
          <w:szCs w:val="22"/>
        </w:rPr>
        <w:t xml:space="preserve"> и Приложениями к нему.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Под оптимизацией бизнес-процессов предприятия понимается совокупность организационных, технических и методологических мероприятий, приводящих к целевым результатам, указанным в Техническом задании (Приложение №6), согласованном Сторонами. Результат оказания услуг, в соответствии Техническим заданием, передается Заказчику в состоянии, позволяющем поэтапно реализовать весь комплекс предложенных мероприятий. 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Услуги по настоящему Договору выполняются с разбивкой на этапы. Перечень этапов и их содержание, а также стоимость каждого из этапов согласованы Сторонами в Приложении №1 к настоящему Договору. Под этапом подразумевается тематическая часть Услуг, выделенная в соответствии с методологией выполнения работ. Услуги, оказываемые по каждому из этапов, представляют самостоятельную ценность для Заказчика.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Плановые сроки оказания услуг (в том числе по каждому из этапов) устанавливаются в Приложении №1. Сроки оказания Услуг по Этапу № 1 начинают исчисляться с момента поступления авансового платежа, предусмотренного пунктом 3.3. настоящего Договора. Сроки оказания услуг по каждому последующему этапу начинают исчисляться с момента подписания акта сдачи-приемки оказанных услуг по предыдущему этапу. В случае нарушения сроков оплаты со стороны Заказчика, Исполнитель вправе в одностороннем порядке перенести срок оказания услуг на период, соразмерный периоду просрочки оплаты Услуг.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Исполнитель обязуется выполнять услуги на основе и в соответствии с исходной информацией, предоставляемой Заказчиком, согласно Приложению №3.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Оказание Исполнителем Дополнительных услуг, не предусмотренных настоящим Договором, оплачивается Заказчиком отдельно по согласованию сторон.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before="120" w:line="276" w:lineRule="auto"/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Общее понимание целей, задач, ограничений и подхода к оказанию консалтинговых услуг, описание проектных рисков и методов их минимизации, а также организационная структура, роли участников и описание стандарта оказания Услуг содержится в документе «Устав Проекта», разработка и согласование которого осуществляется Исполнителем в ходе оказания услуг на Этапе № 1 в соответствии с Приложением № 1 к настоящему Договору.</w:t>
      </w:r>
    </w:p>
    <w:p w:rsidR="00CD6646" w:rsidRDefault="00CD6646" w:rsidP="00CD6646">
      <w:pPr>
        <w:pStyle w:val="2"/>
        <w:numPr>
          <w:ilvl w:val="1"/>
          <w:numId w:val="2"/>
        </w:numPr>
        <w:tabs>
          <w:tab w:val="left" w:pos="1134"/>
        </w:tabs>
        <w:spacing w:line="276" w:lineRule="auto"/>
        <w:ind w:left="578" w:hanging="578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План-график работ Этапа №1 Договора и Устав Проекта должны быть разработаны и согласованы сторонами в течение 10 рабочих дней с даты поступления первого платежа в соответствии с пунктом 3.1. настоящего Договора.</w:t>
      </w:r>
    </w:p>
    <w:p w:rsidR="00714C7B" w:rsidRDefault="00CD6646"/>
    <w:p w:rsidR="00CD6646" w:rsidRDefault="00CD6646">
      <w:r>
        <w:br w:type="page"/>
      </w:r>
    </w:p>
    <w:tbl>
      <w:tblPr>
        <w:tblW w:w="4322" w:type="pct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51" w:type="dxa"/>
        </w:tblCellMar>
        <w:tblLook w:val="0000" w:firstRow="0" w:lastRow="0" w:firstColumn="0" w:lastColumn="0" w:noHBand="0" w:noVBand="0"/>
      </w:tblPr>
      <w:tblGrid>
        <w:gridCol w:w="355"/>
        <w:gridCol w:w="1551"/>
        <w:gridCol w:w="4938"/>
        <w:gridCol w:w="1229"/>
      </w:tblGrid>
      <w:tr w:rsidR="00CD6646" w:rsidTr="00CD6646">
        <w:trPr>
          <w:jc w:val="center"/>
        </w:trPr>
        <w:tc>
          <w:tcPr>
            <w:tcW w:w="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spacing w:before="60" w:after="0"/>
            </w:pPr>
            <w:r>
              <w:rPr>
                <w:rStyle w:val="Entry"/>
                <w:rFonts w:ascii="Times New Roman" w:hAnsi="Times New Roman" w:cs="Arial"/>
                <w:bCs/>
              </w:rPr>
              <w:lastRenderedPageBreak/>
              <w:t>№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spacing w:before="60" w:after="0"/>
              <w:jc w:val="center"/>
            </w:pPr>
            <w:r>
              <w:rPr>
                <w:rStyle w:val="Entry"/>
                <w:rFonts w:ascii="Times New Roman" w:hAnsi="Times New Roman" w:cs="Arial"/>
                <w:bCs/>
              </w:rPr>
              <w:t>Этап</w:t>
            </w:r>
          </w:p>
        </w:tc>
        <w:tc>
          <w:tcPr>
            <w:tcW w:w="49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spacing w:before="60" w:after="0"/>
              <w:jc w:val="center"/>
            </w:pPr>
            <w:r>
              <w:rPr>
                <w:rStyle w:val="Entry"/>
                <w:rFonts w:ascii="Times New Roman" w:hAnsi="Times New Roman" w:cs="Arial"/>
                <w:bCs/>
              </w:rPr>
              <w:t>Содержание услуг</w:t>
            </w:r>
          </w:p>
        </w:tc>
        <w:tc>
          <w:tcPr>
            <w:tcW w:w="12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spacing w:before="60" w:after="0"/>
              <w:jc w:val="center"/>
              <w:rPr>
                <w:rStyle w:val="Entry"/>
                <w:rFonts w:ascii="Times New Roman" w:hAnsi="Times New Roman" w:cs="Arial"/>
                <w:bCs/>
              </w:rPr>
            </w:pPr>
            <w:r>
              <w:rPr>
                <w:rStyle w:val="Entry"/>
                <w:rFonts w:ascii="Times New Roman" w:hAnsi="Times New Roman" w:cs="Arial"/>
                <w:bCs/>
              </w:rPr>
              <w:t>Срок исполнения,</w:t>
            </w:r>
          </w:p>
          <w:p w:rsidR="00CD6646" w:rsidRDefault="00CD6646" w:rsidP="00317263">
            <w:pPr>
              <w:pStyle w:val="TOCBase"/>
              <w:spacing w:before="60" w:after="0"/>
              <w:jc w:val="center"/>
            </w:pPr>
            <w:r>
              <w:rPr>
                <w:rStyle w:val="Entry"/>
                <w:rFonts w:ascii="Times New Roman" w:hAnsi="Times New Roman" w:cs="Arial"/>
                <w:bCs/>
              </w:rPr>
              <w:t>мес.</w:t>
            </w:r>
          </w:p>
        </w:tc>
      </w:tr>
      <w:tr w:rsidR="00CD6646" w:rsidTr="00CD6646">
        <w:trPr>
          <w:trHeight w:val="1687"/>
          <w:jc w:val="center"/>
        </w:trPr>
        <w:tc>
          <w:tcPr>
            <w:tcW w:w="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a4"/>
              <w:jc w:val="center"/>
              <w:rPr>
                <w:rFonts w:cs="Arial"/>
              </w:rPr>
            </w:pPr>
            <w:r>
              <w:rPr>
                <w:rFonts w:ascii="Times New Roman" w:hAnsi="Times New Roman" w:cs="Arial"/>
              </w:rPr>
              <w:t>1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left"/>
              <w:rPr>
                <w:rFonts w:eastAsia="Arial Unicode MS" w:cs="Arial"/>
              </w:rPr>
            </w:pPr>
            <w:r>
              <w:rPr>
                <w:rFonts w:ascii="Times New Roman" w:eastAsia="Arial Unicode MS" w:hAnsi="Times New Roman" w:cs="Arial"/>
              </w:rPr>
              <w:t>Разработка плана мероприятий по оптимизации бизнес-процессов предприятия</w:t>
            </w:r>
          </w:p>
        </w:tc>
        <w:tc>
          <w:tcPr>
            <w:tcW w:w="49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Разработка и согласование Устава проекта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Разработка и согласование Плана-графика работ Этапа №1</w:t>
            </w:r>
          </w:p>
          <w:p w:rsidR="00CD6646" w:rsidRDefault="00CD6646" w:rsidP="00317263">
            <w:pPr>
              <w:pStyle w:val="a3"/>
            </w:pP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Проведение анализа существующих бизнес-процессов планирования и диспетчеризации производственной системы предприятия охватывающих изготовление изделий начиная от поставки основных ТМЦ заканчивая отгрузкой готовой продукции,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Выявление причин изменчивости характеристик бизнес-процессов управления производством – повторяемость бизнес-процессов</w:t>
            </w:r>
          </w:p>
          <w:p w:rsidR="00CD6646" w:rsidRDefault="00CD6646" w:rsidP="00317263">
            <w:pPr>
              <w:pStyle w:val="a3"/>
            </w:pP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Разработка и согласование шаблонов форм представления исходных данных для построения имитационной модели предприятия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 xml:space="preserve">Сбор исходных данных о предприятии по согласованным шаблонам 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Построение виртуальной имитационной модели предприятия в ситуации «Как есть», на основе полученных исходных данных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Верификация исходных данных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 xml:space="preserve">Проверка </w:t>
            </w:r>
            <w:proofErr w:type="gramStart"/>
            <w:r>
              <w:t>достоверности</w:t>
            </w:r>
            <w:proofErr w:type="gramEnd"/>
            <w:r>
              <w:t xml:space="preserve"> построенной виртуальной имитационной модели предприятия в ситуации «Как есть». </w:t>
            </w:r>
            <w:proofErr w:type="spellStart"/>
            <w:r>
              <w:t>Валидация</w:t>
            </w:r>
            <w:proofErr w:type="spellEnd"/>
            <w:r>
              <w:t xml:space="preserve"> результатов имитационного моделирования (</w:t>
            </w:r>
            <w:r>
              <w:rPr>
                <w:i/>
              </w:rPr>
              <w:t>сравнение полученных результатов моделирования с фактом работы предприятия</w:t>
            </w:r>
            <w:r>
              <w:t>)</w:t>
            </w:r>
          </w:p>
          <w:p w:rsidR="00CD6646" w:rsidRDefault="00CD6646" w:rsidP="00317263">
            <w:pPr>
              <w:pStyle w:val="a3"/>
            </w:pP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Разработка альтернативных сценариев имитационного моделирования, с целью достижения показателей предварительного ТЗ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  <w:rPr>
                <w:rFonts w:ascii="Arial" w:hAnsi="Arial"/>
              </w:rPr>
            </w:pPr>
            <w:r>
              <w:t>Анализ результатов имитационного моделирования и выбор вариантов с учётом заданных ограничений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  <w:rPr>
                <w:rFonts w:ascii="Arial" w:hAnsi="Arial"/>
              </w:rPr>
            </w:pPr>
            <w:r>
              <w:t>Построение виртуальной имитационной модели предприятия в ситуации «Как будет», на основе разработанных сценариев</w:t>
            </w:r>
          </w:p>
          <w:p w:rsidR="00CD6646" w:rsidRDefault="00CD6646" w:rsidP="00317263">
            <w:pPr>
              <w:pStyle w:val="a3"/>
            </w:pP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 xml:space="preserve">Настройка конфигурации BFG - </w:t>
            </w:r>
            <w:proofErr w:type="spellStart"/>
            <w:r>
              <w:t>soft</w:t>
            </w:r>
            <w:proofErr w:type="spellEnd"/>
            <w:r>
              <w:t xml:space="preserve"> в соответствии с требованиями ТЗ к программному обеспечению (включая минимально необходимый набор ARM персонала)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Интеграция BFG-</w:t>
            </w:r>
            <w:proofErr w:type="spellStart"/>
            <w:r>
              <w:t>soft</w:t>
            </w:r>
            <w:proofErr w:type="spellEnd"/>
            <w:r>
              <w:t xml:space="preserve"> с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Tex</w:t>
            </w:r>
            <w:proofErr w:type="spellEnd"/>
            <w:r>
              <w:t xml:space="preserve"> и 1С</w:t>
            </w:r>
          </w:p>
          <w:p w:rsidR="00CD6646" w:rsidRDefault="00CD6646" w:rsidP="00317263">
            <w:pPr>
              <w:pStyle w:val="a3"/>
            </w:pP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Разработка и согласование Предложений вариантов плана мероприятий по оптимизации бизнес-процессов планирования и предприятия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Подготовка экономических обоснований и технико-экономических расчетов по анализу эффективности внедрения предлагаемой системы планирования и диспетчеризации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lastRenderedPageBreak/>
              <w:t>Разработка и согласование поэтапного плана</w:t>
            </w:r>
            <w:r>
              <w:rPr>
                <w:i/>
              </w:rPr>
              <w:t xml:space="preserve"> </w:t>
            </w:r>
            <w:r>
              <w:t>мероприятий по оптимизации бизнес-процессов предприятия на основе результатов имитационного моделирования</w:t>
            </w:r>
          </w:p>
        </w:tc>
        <w:tc>
          <w:tcPr>
            <w:tcW w:w="12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 месяца</w:t>
            </w:r>
          </w:p>
        </w:tc>
      </w:tr>
      <w:tr w:rsidR="00CD6646" w:rsidTr="00CD6646">
        <w:trPr>
          <w:trHeight w:val="271"/>
          <w:jc w:val="center"/>
        </w:trPr>
        <w:tc>
          <w:tcPr>
            <w:tcW w:w="3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center"/>
              <w:rPr>
                <w:rFonts w:eastAsia="Arial Unicode MS" w:cs="Arial"/>
              </w:rPr>
            </w:pPr>
            <w:r>
              <w:rPr>
                <w:rFonts w:ascii="Times New Roman" w:eastAsia="Arial Unicode MS" w:hAnsi="Times New Roman" w:cs="Arial"/>
              </w:rPr>
              <w:lastRenderedPageBreak/>
              <w:t>2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left"/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eastAsia="Arial Unicode MS" w:hAnsi="Times New Roman" w:cs="Arial"/>
              </w:rPr>
              <w:t>Развертывание системы планирования и диспетчеризации</w:t>
            </w:r>
          </w:p>
        </w:tc>
        <w:tc>
          <w:tcPr>
            <w:tcW w:w="49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Разворачивание интегрированной системы планирования и диспетчеризации на базе BFG-</w:t>
            </w:r>
            <w:proofErr w:type="spellStart"/>
            <w:r>
              <w:t>sоft</w:t>
            </w:r>
            <w:proofErr w:type="spellEnd"/>
            <w:r>
              <w:t xml:space="preserve"> на серверном оборудовании заказчика, настройка АРМ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Комплекс работ по оснащению рабочих центров средствами автоматизированной диспетчеризации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Обучение сотрудников Заказчика работе в BFG-</w:t>
            </w:r>
            <w:proofErr w:type="spellStart"/>
            <w:r>
              <w:t>soft</w:t>
            </w:r>
            <w:proofErr w:type="spellEnd"/>
            <w:r>
              <w:t xml:space="preserve"> в совокупности с имеющимися системами АСУ</w:t>
            </w:r>
          </w:p>
        </w:tc>
        <w:tc>
          <w:tcPr>
            <w:tcW w:w="12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1,5 месяца </w:t>
            </w:r>
          </w:p>
        </w:tc>
      </w:tr>
      <w:tr w:rsidR="00CD6646" w:rsidTr="00CD6646">
        <w:trPr>
          <w:trHeight w:val="271"/>
          <w:jc w:val="center"/>
        </w:trPr>
        <w:tc>
          <w:tcPr>
            <w:tcW w:w="355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center"/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eastAsia="Arial Unicode MS" w:hAnsi="Times New Roman" w:cs="Arial"/>
              </w:rPr>
              <w:t>3</w:t>
            </w:r>
          </w:p>
        </w:tc>
        <w:tc>
          <w:tcPr>
            <w:tcW w:w="1551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left"/>
              <w:rPr>
                <w:rFonts w:ascii="Times New Roman" w:eastAsia="Arial Unicode MS" w:hAnsi="Times New Roman" w:cs="Arial"/>
              </w:rPr>
            </w:pPr>
            <w:r>
              <w:rPr>
                <w:rFonts w:ascii="Times New Roman" w:eastAsia="Arial Unicode MS" w:hAnsi="Times New Roman" w:cs="Arial"/>
              </w:rPr>
              <w:t>Опытно промышленная эксплуатация</w:t>
            </w:r>
          </w:p>
        </w:tc>
        <w:tc>
          <w:tcPr>
            <w:tcW w:w="4938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Опытно промышленная эксплуатация системы планирования и диспетчеризации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ind w:left="318" w:hanging="284"/>
            </w:pPr>
            <w:r>
              <w:t>Доработка функционала группы АРМ под выявленные на этапе промышленной эксплуатации пожелания Заказчика</w:t>
            </w:r>
          </w:p>
        </w:tc>
        <w:tc>
          <w:tcPr>
            <w:tcW w:w="1229" w:type="dxa"/>
            <w:tcBorders>
              <w:top w:val="single" w:sz="6" w:space="0" w:color="000001"/>
              <w:left w:val="single" w:sz="6" w:space="0" w:color="000001"/>
              <w:bottom w:val="single" w:sz="4" w:space="0" w:color="00000A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a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месяца</w:t>
            </w:r>
          </w:p>
        </w:tc>
      </w:tr>
      <w:tr w:rsidR="00CD6646" w:rsidTr="00CD6646">
        <w:trPr>
          <w:trHeight w:val="298"/>
          <w:jc w:val="center"/>
        </w:trPr>
        <w:tc>
          <w:tcPr>
            <w:tcW w:w="8073" w:type="dxa"/>
            <w:gridSpan w:val="4"/>
            <w:tcBorders>
              <w:top w:val="single" w:sz="4" w:space="0" w:color="00000A"/>
              <w:left w:val="single" w:sz="6" w:space="0" w:color="000001"/>
              <w:bottom w:val="single" w:sz="6" w:space="0" w:color="000001"/>
              <w:right w:val="single" w:sz="4" w:space="0" w:color="00000A"/>
            </w:tcBorders>
            <w:shd w:val="clear" w:color="auto" w:fill="FFFFFF"/>
            <w:tcMar>
              <w:left w:w="58" w:type="dxa"/>
            </w:tcMar>
            <w:vAlign w:val="center"/>
          </w:tcPr>
          <w:p w:rsidR="00CD6646" w:rsidRDefault="00CD6646" w:rsidP="00317263">
            <w:pPr>
              <w:spacing w:line="360" w:lineRule="auto"/>
              <w:jc w:val="righ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ИТОГО:</w:t>
            </w:r>
          </w:p>
        </w:tc>
        <w:bookmarkStart w:id="1" w:name="_Hlk239664768"/>
        <w:bookmarkEnd w:id="1"/>
      </w:tr>
    </w:tbl>
    <w:p w:rsidR="00CD6646" w:rsidRDefault="00CD6646"/>
    <w:p w:rsidR="00CD6646" w:rsidRDefault="00CD6646" w:rsidP="00CD6646">
      <w:pPr>
        <w:pStyle w:val="1"/>
        <w:tabs>
          <w:tab w:val="left" w:pos="360"/>
        </w:tabs>
        <w:spacing w:before="120" w:after="0"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Результаты работ и состав отчетной документации</w:t>
      </w:r>
    </w:p>
    <w:p w:rsidR="00CD6646" w:rsidRDefault="00CD6646" w:rsidP="00CD6646">
      <w:pPr>
        <w:pStyle w:val="a5"/>
        <w:tabs>
          <w:tab w:val="left" w:pos="709"/>
          <w:tab w:val="center" w:pos="4820"/>
          <w:tab w:val="right" w:pos="9639"/>
        </w:tabs>
        <w:spacing w:before="120" w:line="276" w:lineRule="auto"/>
        <w:rPr>
          <w:sz w:val="22"/>
          <w:szCs w:val="22"/>
        </w:rPr>
      </w:pPr>
      <w:r>
        <w:rPr>
          <w:sz w:val="22"/>
          <w:szCs w:val="22"/>
        </w:rPr>
        <w:t>Результатам работ 1 этапа является:</w:t>
      </w:r>
    </w:p>
    <w:p w:rsidR="00CD6646" w:rsidRDefault="00CD6646" w:rsidP="00CD6646">
      <w:pPr>
        <w:pStyle w:val="a5"/>
        <w:numPr>
          <w:ilvl w:val="1"/>
          <w:numId w:val="3"/>
        </w:numPr>
        <w:tabs>
          <w:tab w:val="left" w:pos="709"/>
          <w:tab w:val="center" w:pos="4820"/>
          <w:tab w:val="right" w:pos="9639"/>
        </w:tabs>
        <w:spacing w:before="120" w:line="276" w:lineRule="auto"/>
        <w:ind w:left="284" w:hanging="284"/>
        <w:rPr>
          <w:sz w:val="22"/>
          <w:szCs w:val="22"/>
        </w:rPr>
      </w:pPr>
      <w:r>
        <w:rPr>
          <w:sz w:val="22"/>
          <w:szCs w:val="22"/>
        </w:rPr>
        <w:t>Построенная виртуальная модель производства на базе платформы «</w:t>
      </w:r>
      <w:r>
        <w:rPr>
          <w:sz w:val="22"/>
          <w:szCs w:val="22"/>
          <w:lang w:val="en-US"/>
        </w:rPr>
        <w:t>BFG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IS</w:t>
      </w:r>
      <w:r>
        <w:rPr>
          <w:sz w:val="22"/>
          <w:szCs w:val="22"/>
        </w:rPr>
        <w:t>» являющаяся инструментом моделирования производственных процессов с возможностью:</w:t>
      </w:r>
    </w:p>
    <w:p w:rsidR="00CD6646" w:rsidRDefault="00CD6646" w:rsidP="00CD6646">
      <w:pPr>
        <w:pStyle w:val="a7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анализа текущей и перспективной загрузки оборудования;</w:t>
      </w:r>
    </w:p>
    <w:p w:rsidR="00CD6646" w:rsidRDefault="00CD6646" w:rsidP="00CD6646">
      <w:pPr>
        <w:pStyle w:val="a7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выявления «узких мест», ограничений ресурсного и управленческого плана;</w:t>
      </w:r>
    </w:p>
    <w:p w:rsidR="00CD6646" w:rsidRDefault="00CD6646" w:rsidP="00CD6646">
      <w:pPr>
        <w:pStyle w:val="a7"/>
        <w:numPr>
          <w:ilvl w:val="0"/>
          <w:numId w:val="5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анализа изменений цикла производства изделий-представителей с учётом динамики роста годовой программы производства;</w:t>
      </w:r>
    </w:p>
    <w:p w:rsidR="00CD6646" w:rsidRDefault="00CD6646" w:rsidP="00CD6646">
      <w:pPr>
        <w:pStyle w:val="a7"/>
        <w:numPr>
          <w:ilvl w:val="0"/>
          <w:numId w:val="5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планирования необходимых ресурсов, для выполнения перспективной производственной программы;</w:t>
      </w:r>
    </w:p>
    <w:p w:rsidR="00CD6646" w:rsidRDefault="00CD6646" w:rsidP="00CD6646">
      <w:pPr>
        <w:pStyle w:val="a7"/>
        <w:numPr>
          <w:ilvl w:val="0"/>
          <w:numId w:val="5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определения оптимальных технологических потоков по заданному критерию (производительность, стоимость и т.д.).</w:t>
      </w:r>
    </w:p>
    <w:p w:rsidR="00CD6646" w:rsidRDefault="00CD6646" w:rsidP="00CD6646">
      <w:pPr>
        <w:pStyle w:val="a5"/>
        <w:numPr>
          <w:ilvl w:val="1"/>
          <w:numId w:val="3"/>
        </w:numPr>
        <w:tabs>
          <w:tab w:val="left" w:pos="709"/>
          <w:tab w:val="center" w:pos="4820"/>
          <w:tab w:val="right" w:pos="9639"/>
        </w:tabs>
        <w:spacing w:before="120" w:line="276" w:lineRule="auto"/>
        <w:ind w:left="284" w:hanging="284"/>
        <w:rPr>
          <w:sz w:val="22"/>
          <w:szCs w:val="22"/>
        </w:rPr>
      </w:pPr>
      <w:r>
        <w:rPr>
          <w:sz w:val="22"/>
          <w:szCs w:val="22"/>
        </w:rPr>
        <w:t xml:space="preserve">Поэтапный План мероприятий по оптимизации бизнес процессов планирования и </w:t>
      </w:r>
      <w:proofErr w:type="gramStart"/>
      <w:r>
        <w:rPr>
          <w:sz w:val="22"/>
          <w:szCs w:val="22"/>
        </w:rPr>
        <w:t>диспетчеризации  производственной</w:t>
      </w:r>
      <w:proofErr w:type="gramEnd"/>
      <w:r>
        <w:rPr>
          <w:sz w:val="22"/>
          <w:szCs w:val="22"/>
        </w:rPr>
        <w:t xml:space="preserve"> системы предприятия Заказчика, позволяющий достичь цели Уточнённого Технического задания.</w:t>
      </w:r>
    </w:p>
    <w:p w:rsidR="00CD6646" w:rsidRDefault="00CD6646" w:rsidP="00CD6646">
      <w:pPr>
        <w:pStyle w:val="a5"/>
        <w:tabs>
          <w:tab w:val="left" w:pos="709"/>
          <w:tab w:val="center" w:pos="4820"/>
          <w:tab w:val="right" w:pos="9639"/>
        </w:tabs>
        <w:spacing w:before="120" w:line="276" w:lineRule="auto"/>
        <w:ind w:left="284"/>
        <w:rPr>
          <w:sz w:val="22"/>
          <w:szCs w:val="22"/>
        </w:rPr>
      </w:pPr>
      <w:r>
        <w:rPr>
          <w:sz w:val="22"/>
          <w:szCs w:val="22"/>
        </w:rPr>
        <w:t>Обоснование возможностей достижения целевых показателей Технического задания осуществляется на основе:</w:t>
      </w:r>
    </w:p>
    <w:p w:rsidR="00CD6646" w:rsidRDefault="00CD6646" w:rsidP="00CD6646">
      <w:pPr>
        <w:pStyle w:val="a7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анализа существующего производства и определения основных характеристик в ситуации «как есть»;</w:t>
      </w:r>
    </w:p>
    <w:p w:rsidR="00CD6646" w:rsidRDefault="00CD6646" w:rsidP="00CD6646">
      <w:pPr>
        <w:pStyle w:val="a7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имитационного моделирования производства и создания виртуальной модели производства в ситуации "как будет", выстроенных производственных процессов с корректировкой узких мест (техпроцессов, правил организации и др.) и детального анализа возможных изменений, с учётом заданных ограничений.</w:t>
      </w:r>
    </w:p>
    <w:p w:rsidR="00CD6646" w:rsidRDefault="00CD6646" w:rsidP="00CD6646">
      <w:pPr>
        <w:pStyle w:val="a5"/>
        <w:tabs>
          <w:tab w:val="left" w:pos="709"/>
          <w:tab w:val="center" w:pos="4820"/>
          <w:tab w:val="right" w:pos="9639"/>
        </w:tabs>
        <w:spacing w:before="120" w:line="276" w:lineRule="auto"/>
        <w:ind w:firstLine="567"/>
        <w:rPr>
          <w:sz w:val="22"/>
          <w:szCs w:val="22"/>
        </w:rPr>
      </w:pPr>
      <w:r>
        <w:rPr>
          <w:sz w:val="22"/>
          <w:szCs w:val="22"/>
        </w:rPr>
        <w:t>По результатам проведения работ по каждому этапу предоставляется следующая отчетная документация:</w:t>
      </w:r>
    </w:p>
    <w:tbl>
      <w:tblPr>
        <w:tblW w:w="5000" w:type="pct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51" w:type="dxa"/>
        </w:tblCellMar>
        <w:tblLook w:val="0000" w:firstRow="0" w:lastRow="0" w:firstColumn="0" w:lastColumn="0" w:noHBand="0" w:noVBand="0"/>
      </w:tblPr>
      <w:tblGrid>
        <w:gridCol w:w="1941"/>
        <w:gridCol w:w="7398"/>
      </w:tblGrid>
      <w:tr w:rsidR="00CD6646" w:rsidTr="00317263">
        <w:trPr>
          <w:jc w:val="center"/>
        </w:trPr>
        <w:tc>
          <w:tcPr>
            <w:tcW w:w="19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1" w:type="dxa"/>
            </w:tcMar>
          </w:tcPr>
          <w:p w:rsidR="00CD6646" w:rsidRDefault="00CD6646" w:rsidP="00317263">
            <w:pPr>
              <w:pStyle w:val="a7"/>
              <w:spacing w:after="60"/>
              <w:ind w:left="0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ascii="Times New Roman" w:hAnsi="Times New Roman" w:cs="Arial"/>
                <w:b/>
                <w:bCs/>
                <w:sz w:val="20"/>
                <w:szCs w:val="22"/>
              </w:rPr>
              <w:lastRenderedPageBreak/>
              <w:t>Этап</w:t>
            </w:r>
          </w:p>
        </w:tc>
        <w:tc>
          <w:tcPr>
            <w:tcW w:w="7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51" w:type="dxa"/>
            </w:tcMar>
          </w:tcPr>
          <w:p w:rsidR="00CD6646" w:rsidRDefault="00CD6646" w:rsidP="00317263">
            <w:pPr>
              <w:pStyle w:val="a7"/>
              <w:spacing w:after="60"/>
              <w:ind w:left="0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ascii="Times New Roman" w:hAnsi="Times New Roman" w:cs="Arial"/>
                <w:b/>
                <w:bCs/>
                <w:sz w:val="20"/>
                <w:szCs w:val="22"/>
              </w:rPr>
              <w:t>Документ</w:t>
            </w:r>
          </w:p>
        </w:tc>
      </w:tr>
      <w:tr w:rsidR="00CD6646" w:rsidTr="00317263">
        <w:trPr>
          <w:jc w:val="center"/>
        </w:trPr>
        <w:tc>
          <w:tcPr>
            <w:tcW w:w="19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  <w:vAlign w:val="center"/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left"/>
              <w:rPr>
                <w:rFonts w:eastAsia="Arial Unicode MS" w:cs="Arial"/>
              </w:rPr>
            </w:pPr>
            <w:r>
              <w:rPr>
                <w:rFonts w:ascii="Times New Roman" w:eastAsia="Arial Unicode MS" w:hAnsi="Times New Roman" w:cs="Arial"/>
              </w:rPr>
              <w:t>Этап №1. Разработка плана мероприятий по оптимизации бизнес-процессов предприятия</w:t>
            </w:r>
          </w:p>
        </w:tc>
        <w:tc>
          <w:tcPr>
            <w:tcW w:w="7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Устав проекта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План-график работ Этапа №1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Модель «</w:t>
            </w:r>
            <w:proofErr w:type="spellStart"/>
            <w:r>
              <w:t>as-is</w:t>
            </w:r>
            <w:proofErr w:type="spellEnd"/>
            <w:r>
              <w:t>»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</w:pPr>
            <w:r>
              <w:t>Модель «</w:t>
            </w:r>
            <w:proofErr w:type="spellStart"/>
            <w:r>
              <w:t>to</w:t>
            </w:r>
            <w:proofErr w:type="spellEnd"/>
            <w:r>
              <w:t>-b</w:t>
            </w:r>
            <w:r>
              <w:rPr>
                <w:lang w:val="en-US"/>
              </w:rPr>
              <w:t>e</w:t>
            </w:r>
            <w:r>
              <w:t xml:space="preserve">» 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Презентация - отчёт результатов работ по Этапу №1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</w:pPr>
            <w:r>
              <w:t>Поэтапный план мероприятий по оптимизации бизнес-процессов предприятия на основе результатов имитационного моделирования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Акт сдачи-приемки выполненных услуг (оказанных услуг) по Договору</w:t>
            </w:r>
          </w:p>
        </w:tc>
      </w:tr>
      <w:tr w:rsidR="00CD6646" w:rsidTr="00317263">
        <w:trPr>
          <w:jc w:val="center"/>
        </w:trPr>
        <w:tc>
          <w:tcPr>
            <w:tcW w:w="19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left"/>
              <w:rPr>
                <w:rFonts w:eastAsia="Arial Unicode MS" w:cs="Arial"/>
              </w:rPr>
            </w:pPr>
            <w:r>
              <w:rPr>
                <w:rFonts w:ascii="Times New Roman" w:eastAsia="Arial Unicode MS" w:hAnsi="Times New Roman" w:cs="Arial"/>
              </w:rPr>
              <w:t>Этап №2. Развертывание системы планирования и диспетчеризации</w:t>
            </w:r>
          </w:p>
        </w:tc>
        <w:tc>
          <w:tcPr>
            <w:tcW w:w="7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План-график работ Этапа №2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Презентация - отчёт результатов работ по Этапу №2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Акт сдачи-приемки выполненных услуг (оказанных услуг) по Договору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 xml:space="preserve">Акт обучения сотрудников основам работы с </w:t>
            </w:r>
            <w:r>
              <w:rPr>
                <w:lang w:val="en-US"/>
              </w:rPr>
              <w:t>BFG</w:t>
            </w:r>
            <w:r>
              <w:t>-</w:t>
            </w:r>
            <w:r>
              <w:rPr>
                <w:lang w:val="en-US"/>
              </w:rPr>
              <w:t>QRM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 xml:space="preserve">Акт развертывания ПО </w:t>
            </w:r>
            <w:r>
              <w:rPr>
                <w:lang w:val="en-US"/>
              </w:rPr>
              <w:t>BFG</w:t>
            </w:r>
            <w:r>
              <w:t>-</w:t>
            </w:r>
            <w:r>
              <w:rPr>
                <w:lang w:val="en-US"/>
              </w:rPr>
              <w:t>QRM</w:t>
            </w:r>
            <w:r>
              <w:t xml:space="preserve"> на серверном оборудовании заказчика</w:t>
            </w:r>
          </w:p>
        </w:tc>
      </w:tr>
      <w:tr w:rsidR="00CD6646" w:rsidTr="00317263">
        <w:trPr>
          <w:jc w:val="center"/>
        </w:trPr>
        <w:tc>
          <w:tcPr>
            <w:tcW w:w="19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CD6646" w:rsidRDefault="00CD6646" w:rsidP="00317263">
            <w:pPr>
              <w:pStyle w:val="TOCBase"/>
              <w:tabs>
                <w:tab w:val="left" w:pos="708"/>
              </w:tabs>
              <w:spacing w:before="60" w:after="0"/>
              <w:jc w:val="left"/>
              <w:rPr>
                <w:rFonts w:eastAsia="Arial Unicode MS" w:cs="Arial"/>
              </w:rPr>
            </w:pPr>
            <w:r>
              <w:rPr>
                <w:rFonts w:ascii="Times New Roman" w:eastAsia="Arial Unicode MS" w:hAnsi="Times New Roman" w:cs="Arial"/>
              </w:rPr>
              <w:t>Этап №3. Опытно промышленная эксплуатация</w:t>
            </w:r>
          </w:p>
        </w:tc>
        <w:tc>
          <w:tcPr>
            <w:tcW w:w="79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51" w:type="dxa"/>
            </w:tcMar>
          </w:tcPr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План-график работ Этапа №3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Презентация - отчёт результатов работ по Этапу №3</w:t>
            </w:r>
          </w:p>
          <w:p w:rsidR="00CD6646" w:rsidRDefault="00CD6646" w:rsidP="00CD6646">
            <w:pPr>
              <w:pStyle w:val="a3"/>
              <w:numPr>
                <w:ilvl w:val="0"/>
                <w:numId w:val="3"/>
              </w:numPr>
              <w:spacing w:before="0" w:after="0"/>
              <w:ind w:left="318" w:hanging="284"/>
              <w:rPr>
                <w:rFonts w:ascii="Arial" w:hAnsi="Arial"/>
              </w:rPr>
            </w:pPr>
            <w:r>
              <w:t>Акт сдачи-приемки выполненных услуг (оказанных услуг) по Договору</w:t>
            </w:r>
          </w:p>
        </w:tc>
      </w:tr>
    </w:tbl>
    <w:p w:rsidR="00CD6646" w:rsidRDefault="00CD6646"/>
    <w:p w:rsidR="00CD6646" w:rsidRDefault="00CD6646" w:rsidP="00CD6646">
      <w:pPr>
        <w:pStyle w:val="1"/>
        <w:rPr>
          <w:rFonts w:ascii="Arial" w:hAnsi="Arial"/>
          <w:bCs w:val="0"/>
          <w:sz w:val="22"/>
          <w:szCs w:val="22"/>
        </w:rPr>
      </w:pPr>
      <w:r>
        <w:rPr>
          <w:bCs w:val="0"/>
          <w:sz w:val="22"/>
          <w:szCs w:val="22"/>
        </w:rPr>
        <w:t>Информация, предоставляемая Заказчиком.</w:t>
      </w:r>
    </w:p>
    <w:tbl>
      <w:tblPr>
        <w:tblStyle w:val="a8"/>
        <w:tblW w:w="9640" w:type="dxa"/>
        <w:jc w:val="center"/>
        <w:tblCellMar>
          <w:left w:w="103" w:type="dxa"/>
        </w:tblCellMar>
        <w:tblLook w:val="0000" w:firstRow="0" w:lastRow="0" w:firstColumn="0" w:lastColumn="0" w:noHBand="0" w:noVBand="0"/>
      </w:tblPr>
      <w:tblGrid>
        <w:gridCol w:w="2094"/>
        <w:gridCol w:w="7546"/>
      </w:tblGrid>
      <w:tr w:rsidR="00CD6646" w:rsidTr="00317263">
        <w:trPr>
          <w:jc w:val="center"/>
        </w:trPr>
        <w:tc>
          <w:tcPr>
            <w:tcW w:w="9639" w:type="dxa"/>
            <w:gridSpan w:val="2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pStyle w:val="a7"/>
              <w:spacing w:after="60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ascii="Times New Roman" w:hAnsi="Times New Roman" w:cs="Arial"/>
                <w:b/>
                <w:bCs/>
                <w:szCs w:val="22"/>
              </w:rPr>
              <w:t>Функциональная область</w:t>
            </w:r>
          </w:p>
        </w:tc>
      </w:tr>
      <w:tr w:rsidR="00CD6646" w:rsidTr="00317263">
        <w:trPr>
          <w:trHeight w:val="2241"/>
          <w:jc w:val="center"/>
        </w:trPr>
        <w:tc>
          <w:tcPr>
            <w:tcW w:w="2094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rPr>
                <w:rFonts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1. Описание предприятия:</w:t>
            </w:r>
          </w:p>
        </w:tc>
        <w:tc>
          <w:tcPr>
            <w:tcW w:w="7545" w:type="dxa"/>
            <w:shd w:val="clear" w:color="auto" w:fill="auto"/>
            <w:tcMar>
              <w:left w:w="103" w:type="dxa"/>
            </w:tcMar>
          </w:tcPr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 w:cs="Arial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>Структура предприятия: цеха, участки, отделы и склады.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 w:cs="Arial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>Описание ресурсов предприятия: перечень существующего технологического оборудования, персонала, их количество и сменность работы по каждому структурному подразделению;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 w:cs="Arial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 xml:space="preserve">Описание правил и </w:t>
            </w:r>
            <w:proofErr w:type="spellStart"/>
            <w:proofErr w:type="gramStart"/>
            <w:r>
              <w:rPr>
                <w:rFonts w:ascii="Times New Roman" w:hAnsi="Times New Roman" w:cs="Arial"/>
                <w:szCs w:val="22"/>
              </w:rPr>
              <w:t>тех.регламентов</w:t>
            </w:r>
            <w:proofErr w:type="spellEnd"/>
            <w:proofErr w:type="gramEnd"/>
            <w:r>
              <w:rPr>
                <w:rFonts w:ascii="Times New Roman" w:hAnsi="Times New Roman" w:cs="Arial"/>
                <w:szCs w:val="22"/>
              </w:rPr>
              <w:t xml:space="preserve"> организации бизнес-процессов, существующих на предприятии, методик планирования производства и мотивации персонала;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>Исходные данные по плану-факту выпуска изделий за предыдущий период.</w:t>
            </w:r>
          </w:p>
        </w:tc>
      </w:tr>
      <w:tr w:rsidR="00CD6646" w:rsidTr="00317263">
        <w:trPr>
          <w:trHeight w:val="957"/>
          <w:jc w:val="center"/>
        </w:trPr>
        <w:tc>
          <w:tcPr>
            <w:tcW w:w="2094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pStyle w:val="a7"/>
              <w:spacing w:before="0" w:after="200" w:line="276" w:lineRule="auto"/>
              <w:ind w:left="38"/>
              <w:jc w:val="left"/>
            </w:pPr>
            <w:r>
              <w:rPr>
                <w:rFonts w:ascii="Times New Roman" w:hAnsi="Times New Roman"/>
                <w:szCs w:val="22"/>
              </w:rPr>
              <w:t>2. Описание технологии изготовления изделий:</w:t>
            </w:r>
          </w:p>
        </w:tc>
        <w:tc>
          <w:tcPr>
            <w:tcW w:w="7545" w:type="dxa"/>
            <w:shd w:val="clear" w:color="auto" w:fill="auto"/>
            <w:tcMar>
              <w:left w:w="103" w:type="dxa"/>
            </w:tcMar>
          </w:tcPr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 w:cs="Arial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>Технологические маршруты изготовления изделий с данными по операционным временам, оборудованию, персоналу и структурному подразделению, где осуществляется данная операция;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>Спецификации по составу изделий и ДСЕ, входящих в их состав.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Arial"/>
                <w:szCs w:val="22"/>
              </w:rPr>
              <w:t>Описание изделий представителей (</w:t>
            </w:r>
            <w:proofErr w:type="spellStart"/>
            <w:r>
              <w:rPr>
                <w:rFonts w:ascii="Times New Roman" w:hAnsi="Times New Roman" w:cs="Arial"/>
                <w:szCs w:val="22"/>
              </w:rPr>
              <w:t>референтные</w:t>
            </w:r>
            <w:proofErr w:type="spellEnd"/>
            <w:r>
              <w:rPr>
                <w:rFonts w:ascii="Times New Roman" w:hAnsi="Times New Roman" w:cs="Arial"/>
                <w:szCs w:val="22"/>
              </w:rPr>
              <w:t xml:space="preserve"> изделия)</w:t>
            </w:r>
          </w:p>
        </w:tc>
      </w:tr>
      <w:tr w:rsidR="00CD6646" w:rsidTr="00317263">
        <w:trPr>
          <w:jc w:val="center"/>
        </w:trPr>
        <w:tc>
          <w:tcPr>
            <w:tcW w:w="2094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spacing w:after="60"/>
              <w:rPr>
                <w:rFonts w:ascii="Arial" w:hAnsi="Arial" w:cs="Arial"/>
                <w:color w:val="000000"/>
              </w:rPr>
            </w:pPr>
            <w:bookmarkStart w:id="2" w:name="__DdeLink__1942_379819415"/>
            <w:bookmarkEnd w:id="2"/>
            <w:r>
              <w:rPr>
                <w:rFonts w:cs="Arial"/>
                <w:color w:val="000000"/>
                <w:sz w:val="22"/>
                <w:szCs w:val="22"/>
              </w:rPr>
              <w:t>3. Управление производством</w:t>
            </w:r>
          </w:p>
        </w:tc>
        <w:tc>
          <w:tcPr>
            <w:tcW w:w="7545" w:type="dxa"/>
            <w:shd w:val="clear" w:color="auto" w:fill="auto"/>
            <w:tcMar>
              <w:left w:w="103" w:type="dxa"/>
            </w:tcMar>
          </w:tcPr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cs="Arial"/>
              </w:rPr>
            </w:pPr>
            <w:r>
              <w:rPr>
                <w:rFonts w:ascii="Times New Roman" w:hAnsi="Times New Roman" w:cs="Arial"/>
                <w:szCs w:val="22"/>
              </w:rPr>
              <w:t>Описание бизнес-процесса планирования потребности в сырье и материалах для производства;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cs="Arial"/>
              </w:rPr>
            </w:pPr>
            <w:r>
              <w:rPr>
                <w:rFonts w:ascii="Times New Roman" w:hAnsi="Times New Roman" w:cs="Arial"/>
                <w:szCs w:val="22"/>
              </w:rPr>
              <w:t xml:space="preserve">Описание бизнес-процесса планирования производства; 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cs="Arial"/>
              </w:rPr>
            </w:pPr>
            <w:r>
              <w:rPr>
                <w:rFonts w:ascii="Times New Roman" w:hAnsi="Times New Roman" w:cs="Arial"/>
                <w:szCs w:val="22"/>
              </w:rPr>
              <w:t xml:space="preserve">Расчёты загрузки оборудования (с учётом </w:t>
            </w:r>
            <w:proofErr w:type="spellStart"/>
            <w:r>
              <w:rPr>
                <w:rFonts w:ascii="Times New Roman" w:hAnsi="Times New Roman" w:cs="Arial"/>
                <w:szCs w:val="22"/>
              </w:rPr>
              <w:t>техкарт</w:t>
            </w:r>
            <w:proofErr w:type="spellEnd"/>
            <w:r>
              <w:rPr>
                <w:rFonts w:ascii="Times New Roman" w:hAnsi="Times New Roman" w:cs="Arial"/>
                <w:szCs w:val="22"/>
              </w:rPr>
              <w:t>, циклограмм работы оборудования, графиков работы, ППР) за предыдущий период;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cs="Arial"/>
              </w:rPr>
            </w:pPr>
            <w:r>
              <w:rPr>
                <w:rFonts w:ascii="Times New Roman" w:hAnsi="Times New Roman" w:cs="Arial"/>
                <w:szCs w:val="22"/>
              </w:rPr>
              <w:t>Данные по учёту движения сырья, комплектующих и материалов на производстве;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cs="Arial"/>
              </w:rPr>
            </w:pPr>
            <w:r>
              <w:rPr>
                <w:rFonts w:ascii="Times New Roman" w:hAnsi="Times New Roman" w:cs="Arial"/>
                <w:szCs w:val="22"/>
              </w:rPr>
              <w:t>Данные по контролю выполнения производственных заданий на производстве;</w:t>
            </w:r>
          </w:p>
          <w:p w:rsidR="00CD6646" w:rsidRDefault="00CD6646" w:rsidP="00CD6646">
            <w:pPr>
              <w:pStyle w:val="a7"/>
              <w:numPr>
                <w:ilvl w:val="0"/>
                <w:numId w:val="6"/>
              </w:numPr>
              <w:spacing w:after="60"/>
              <w:ind w:left="460" w:hanging="284"/>
              <w:rPr>
                <w:rFonts w:cs="Arial"/>
              </w:rPr>
            </w:pPr>
            <w:r>
              <w:rPr>
                <w:rFonts w:ascii="Times New Roman" w:hAnsi="Times New Roman" w:cs="Arial"/>
                <w:szCs w:val="22"/>
              </w:rPr>
              <w:t>Данные по учету НЗП на производстве.</w:t>
            </w:r>
          </w:p>
        </w:tc>
      </w:tr>
    </w:tbl>
    <w:p w:rsidR="00CD6646" w:rsidRDefault="00CD6646"/>
    <w:p w:rsidR="00CD6646" w:rsidRDefault="00CD6646" w:rsidP="00CD6646">
      <w:pPr>
        <w:pStyle w:val="1"/>
        <w:numPr>
          <w:ilvl w:val="0"/>
          <w:numId w:val="7"/>
        </w:numPr>
        <w:tabs>
          <w:tab w:val="left" w:pos="360"/>
        </w:tabs>
        <w:spacing w:before="120" w:after="0" w:line="276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Цель проекта</w:t>
      </w:r>
    </w:p>
    <w:p w:rsidR="00CD6646" w:rsidRDefault="00CD6646" w:rsidP="00CD6646">
      <w:pPr>
        <w:pStyle w:val="a7"/>
        <w:spacing w:before="120" w:line="276" w:lineRule="auto"/>
        <w:ind w:left="0" w:firstLine="567"/>
      </w:pPr>
      <w:r>
        <w:rPr>
          <w:rFonts w:ascii="Times New Roman" w:hAnsi="Times New Roman"/>
          <w:szCs w:val="22"/>
        </w:rPr>
        <w:t>Целью проекта является</w:t>
      </w:r>
      <w:r>
        <w:rPr>
          <w:rFonts w:ascii="Times New Roman" w:hAnsi="Times New Roman"/>
          <w:bCs/>
          <w:szCs w:val="22"/>
        </w:rPr>
        <w:t xml:space="preserve"> оказать консалтинговые услуги по разработке и реализации плана мероприятий по оптимизации бизнес-процессов планирования и диспетчеризации производственной системы предприятия</w:t>
      </w:r>
      <w:bookmarkStart w:id="3" w:name="_Ref1914438981"/>
      <w:r>
        <w:rPr>
          <w:rFonts w:ascii="Times New Roman" w:hAnsi="Times New Roman"/>
          <w:bCs/>
          <w:szCs w:val="22"/>
        </w:rPr>
        <w:t>, с дальнейшей реализацией внедрения системы планирования и диспетчеризации,</w:t>
      </w:r>
      <w:r>
        <w:rPr>
          <w:rFonts w:ascii="Times New Roman" w:hAnsi="Times New Roman"/>
          <w:bCs/>
          <w:i/>
          <w:szCs w:val="22"/>
        </w:rPr>
        <w:t xml:space="preserve"> при заданных ограничениях, приводящих к достижению следующих целевых результат</w:t>
      </w:r>
      <w:bookmarkEnd w:id="3"/>
      <w:r>
        <w:rPr>
          <w:rFonts w:ascii="Times New Roman" w:hAnsi="Times New Roman"/>
          <w:bCs/>
          <w:i/>
          <w:szCs w:val="22"/>
        </w:rPr>
        <w:t>ов*:</w:t>
      </w:r>
    </w:p>
    <w:tbl>
      <w:tblPr>
        <w:tblStyle w:val="a8"/>
        <w:tblW w:w="10486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"/>
        <w:gridCol w:w="6381"/>
        <w:gridCol w:w="2036"/>
        <w:gridCol w:w="1648"/>
      </w:tblGrid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№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ind w:firstLine="142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Показатели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Существующие**</w:t>
            </w:r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Желаемые</w:t>
            </w:r>
          </w:p>
        </w:tc>
      </w:tr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rPr>
                <w:szCs w:val="22"/>
              </w:rPr>
            </w:pPr>
            <w:r>
              <w:rPr>
                <w:szCs w:val="22"/>
              </w:rPr>
              <w:t>Ежесуточная корректировка графика сдачи готовой продукции на склад, основанная на анализе следующих показателей:</w:t>
            </w:r>
          </w:p>
          <w:p w:rsidR="00CD6646" w:rsidRDefault="00CD6646" w:rsidP="00CD6646">
            <w:pPr>
              <w:pStyle w:val="a7"/>
              <w:numPr>
                <w:ilvl w:val="0"/>
                <w:numId w:val="8"/>
              </w:numPr>
              <w:spacing w:before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lastRenderedPageBreak/>
              <w:t>Плановый объём выполнения принятых заказов за отчетный период времени;</w:t>
            </w:r>
          </w:p>
          <w:p w:rsidR="00CD6646" w:rsidRDefault="00CD6646" w:rsidP="00CD6646">
            <w:pPr>
              <w:pStyle w:val="a7"/>
              <w:numPr>
                <w:ilvl w:val="0"/>
                <w:numId w:val="8"/>
              </w:numPr>
              <w:spacing w:before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Количество доступных производственных ресурсов; </w:t>
            </w:r>
          </w:p>
          <w:p w:rsidR="00CD6646" w:rsidRDefault="00CD6646" w:rsidP="00CD6646">
            <w:pPr>
              <w:pStyle w:val="a7"/>
              <w:numPr>
                <w:ilvl w:val="0"/>
                <w:numId w:val="8"/>
              </w:numPr>
              <w:spacing w:before="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Количество и приоритетность вновь поступивших заказов.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Отсутствует</w:t>
            </w:r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В течении одного часа</w:t>
            </w:r>
          </w:p>
        </w:tc>
      </w:tr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2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  <w:vAlign w:val="center"/>
          </w:tcPr>
          <w:p w:rsidR="00CD6646" w:rsidRDefault="00CD6646" w:rsidP="00317263">
            <w:r>
              <w:rPr>
                <w:szCs w:val="22"/>
              </w:rPr>
              <w:t xml:space="preserve">Объем производства готовой продукции в </w:t>
            </w:r>
            <w:proofErr w:type="spellStart"/>
            <w:r>
              <w:rPr>
                <w:szCs w:val="22"/>
              </w:rPr>
              <w:t>п.м</w:t>
            </w:r>
            <w:proofErr w:type="spellEnd"/>
            <w:r>
              <w:rPr>
                <w:szCs w:val="22"/>
              </w:rPr>
              <w:t>.: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</w:pPr>
            <w:r>
              <w:rPr>
                <w:szCs w:val="22"/>
              </w:rPr>
              <w:t>5 978 469</w:t>
            </w:r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</w:pPr>
            <w:r>
              <w:rPr>
                <w:szCs w:val="22"/>
              </w:rPr>
              <w:t>???</w:t>
            </w:r>
          </w:p>
        </w:tc>
      </w:tr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  <w:vAlign w:val="center"/>
          </w:tcPr>
          <w:p w:rsidR="00CD6646" w:rsidRDefault="00CD6646" w:rsidP="00317263">
            <w:pPr>
              <w:rPr>
                <w:szCs w:val="22"/>
              </w:rPr>
            </w:pPr>
            <w:r>
              <w:rPr>
                <w:szCs w:val="22"/>
              </w:rPr>
              <w:t xml:space="preserve">Циклы производства </w:t>
            </w:r>
            <w:proofErr w:type="spellStart"/>
            <w:r>
              <w:rPr>
                <w:szCs w:val="22"/>
              </w:rPr>
              <w:t>референтных</w:t>
            </w:r>
            <w:proofErr w:type="spellEnd"/>
            <w:r>
              <w:rPr>
                <w:szCs w:val="22"/>
              </w:rPr>
              <w:t xml:space="preserve"> изделий (от момента запуска в производство до момента передачи на склад готовой продукции), час (дни)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  <w:vertAlign w:val="subscript"/>
              </w:rPr>
            </w:pPr>
            <w:r>
              <w:rPr>
                <w:szCs w:val="22"/>
                <w:lang w:val="en-US"/>
              </w:rPr>
              <w:t>N</w:t>
            </w:r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N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/</w:t>
            </w:r>
            <w:r>
              <w:rPr>
                <w:szCs w:val="22"/>
              </w:rPr>
              <w:t xml:space="preserve"> 1,5</w:t>
            </w:r>
          </w:p>
        </w:tc>
      </w:tr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rPr>
                <w:szCs w:val="22"/>
              </w:rPr>
            </w:pPr>
            <w:r>
              <w:rPr>
                <w:szCs w:val="22"/>
              </w:rPr>
              <w:t>Уровень незавершённого производства, метров (тонн) в месяц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  <w:vertAlign w:val="subscript"/>
              </w:rPr>
            </w:pPr>
            <w:r>
              <w:rPr>
                <w:szCs w:val="22"/>
                <w:lang w:val="en-US"/>
              </w:rPr>
              <w:t>V</w:t>
            </w:r>
            <w:proofErr w:type="spellStart"/>
            <w:r>
              <w:rPr>
                <w:szCs w:val="22"/>
                <w:vertAlign w:val="subscript"/>
              </w:rPr>
              <w:t>нзп</w:t>
            </w:r>
            <w:proofErr w:type="spellEnd"/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 V</w:t>
            </w:r>
            <w:proofErr w:type="spellStart"/>
            <w:r>
              <w:rPr>
                <w:szCs w:val="22"/>
                <w:vertAlign w:val="subscript"/>
              </w:rPr>
              <w:t>нзп</w:t>
            </w:r>
            <w:proofErr w:type="spellEnd"/>
            <w:r>
              <w:rPr>
                <w:szCs w:val="22"/>
                <w:lang w:val="en-US"/>
              </w:rPr>
              <w:t xml:space="preserve"> /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1,5</w:t>
            </w:r>
          </w:p>
        </w:tc>
      </w:tr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rPr>
                <w:szCs w:val="22"/>
              </w:rPr>
            </w:pPr>
            <w:r>
              <w:rPr>
                <w:szCs w:val="22"/>
              </w:rPr>
              <w:t>Объём запасов на складе суровья***, метров (тонн) в месяц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V</w:t>
            </w:r>
            <w:proofErr w:type="spellStart"/>
            <w:r>
              <w:rPr>
                <w:szCs w:val="22"/>
                <w:vertAlign w:val="subscript"/>
              </w:rPr>
              <w:t>скл</w:t>
            </w:r>
            <w:proofErr w:type="spellEnd"/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 V</w:t>
            </w:r>
            <w:proofErr w:type="spellStart"/>
            <w:r>
              <w:rPr>
                <w:szCs w:val="22"/>
                <w:vertAlign w:val="subscript"/>
              </w:rPr>
              <w:t>скл</w:t>
            </w:r>
            <w:proofErr w:type="spellEnd"/>
            <w:r>
              <w:rPr>
                <w:szCs w:val="22"/>
                <w:vertAlign w:val="subscript"/>
              </w:rPr>
              <w:t xml:space="preserve"> </w:t>
            </w:r>
            <w:r>
              <w:rPr>
                <w:szCs w:val="22"/>
              </w:rPr>
              <w:t>/ 1,5</w:t>
            </w:r>
          </w:p>
        </w:tc>
      </w:tr>
      <w:tr w:rsidR="00CD6646" w:rsidTr="00317263">
        <w:trPr>
          <w:jc w:val="center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6380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rPr>
                <w:szCs w:val="22"/>
              </w:rPr>
            </w:pPr>
            <w:r>
              <w:rPr>
                <w:szCs w:val="22"/>
              </w:rPr>
              <w:t>Выработка на одного рабочего, метров/чел.</w:t>
            </w:r>
          </w:p>
        </w:tc>
        <w:tc>
          <w:tcPr>
            <w:tcW w:w="2036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</w:t>
            </w:r>
          </w:p>
        </w:tc>
        <w:tc>
          <w:tcPr>
            <w:tcW w:w="1648" w:type="dxa"/>
            <w:shd w:val="clear" w:color="auto" w:fill="auto"/>
            <w:tcMar>
              <w:left w:w="103" w:type="dxa"/>
            </w:tcMar>
          </w:tcPr>
          <w:p w:rsidR="00CD6646" w:rsidRDefault="00CD6646" w:rsidP="00317263">
            <w:pPr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1,3 W</w:t>
            </w:r>
          </w:p>
        </w:tc>
      </w:tr>
    </w:tbl>
    <w:p w:rsidR="00CD6646" w:rsidRDefault="00CD6646" w:rsidP="00CD6646">
      <w:pPr>
        <w:pStyle w:val="a7"/>
        <w:spacing w:before="120" w:line="276" w:lineRule="auto"/>
        <w:ind w:left="0"/>
        <w:rPr>
          <w:rFonts w:ascii="Times New Roman" w:hAnsi="Times New Roman"/>
          <w:b/>
          <w:bCs/>
          <w:sz w:val="20"/>
          <w:szCs w:val="22"/>
        </w:rPr>
      </w:pPr>
      <w:r>
        <w:rPr>
          <w:rFonts w:ascii="Times New Roman" w:hAnsi="Times New Roman"/>
          <w:b/>
          <w:bCs/>
          <w:sz w:val="20"/>
          <w:szCs w:val="22"/>
        </w:rPr>
        <w:t>Примечание:</w:t>
      </w:r>
    </w:p>
    <w:p w:rsidR="00CD6646" w:rsidRDefault="00CD6646" w:rsidP="00CD6646">
      <w:pPr>
        <w:pStyle w:val="a7"/>
        <w:spacing w:before="120" w:line="276" w:lineRule="auto"/>
        <w:ind w:left="0"/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* Данные показатели должны быть достижимы при заданных финансовых, временных и технологических ограничениях.</w:t>
      </w:r>
    </w:p>
    <w:p w:rsidR="00CD6646" w:rsidRDefault="00CD6646" w:rsidP="00CD6646">
      <w:pPr>
        <w:pStyle w:val="a7"/>
        <w:spacing w:before="120" w:line="276" w:lineRule="auto"/>
        <w:ind w:left="0"/>
        <w:rPr>
          <w:rFonts w:ascii="Times New Roman" w:hAnsi="Times New Roman"/>
          <w:bCs/>
          <w:i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** Существующие показатели определяются в процессе сбора исходных данных о предприятии после подписания договора.</w:t>
      </w:r>
    </w:p>
    <w:p w:rsidR="00CD6646" w:rsidRDefault="00CD6646" w:rsidP="00CD6646">
      <w:pPr>
        <w:pStyle w:val="a7"/>
        <w:spacing w:before="120" w:line="276" w:lineRule="auto"/>
        <w:ind w:left="0"/>
        <w:rPr>
          <w:rFonts w:ascii="Times New Roman" w:hAnsi="Times New Roman"/>
          <w:bCs/>
          <w:sz w:val="20"/>
          <w:szCs w:val="22"/>
        </w:rPr>
      </w:pPr>
      <w:r>
        <w:rPr>
          <w:rFonts w:ascii="Times New Roman" w:hAnsi="Times New Roman"/>
          <w:bCs/>
          <w:i/>
          <w:sz w:val="20"/>
          <w:szCs w:val="22"/>
        </w:rPr>
        <w:t>*** Ткань с ткацкого станка без окраски и отделки.</w:t>
      </w:r>
    </w:p>
    <w:p w:rsidR="00CD6646" w:rsidRDefault="00CD6646">
      <w:bookmarkStart w:id="4" w:name="_GoBack"/>
      <w:bookmarkEnd w:id="4"/>
    </w:p>
    <w:sectPr w:rsidR="00CD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CBE"/>
    <w:multiLevelType w:val="multilevel"/>
    <w:tmpl w:val="BA0ABBC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37C71"/>
    <w:multiLevelType w:val="multilevel"/>
    <w:tmpl w:val="BC7E9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190F46"/>
    <w:multiLevelType w:val="multilevel"/>
    <w:tmpl w:val="25CECD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6551E8"/>
    <w:multiLevelType w:val="multilevel"/>
    <w:tmpl w:val="1108D1E4"/>
    <w:lvl w:ilvl="0">
      <w:start w:val="1"/>
      <w:numFmt w:val="decimal"/>
      <w:lvlText w:val="%1"/>
      <w:lvlJc w:val="left"/>
      <w:pPr>
        <w:ind w:left="391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995E5F"/>
    <w:multiLevelType w:val="multilevel"/>
    <w:tmpl w:val="60702FE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08C5B07"/>
    <w:multiLevelType w:val="multilevel"/>
    <w:tmpl w:val="B8B46D80"/>
    <w:lvl w:ilvl="0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B7B4942"/>
    <w:multiLevelType w:val="multilevel"/>
    <w:tmpl w:val="38104BEE"/>
    <w:lvl w:ilvl="0">
      <w:start w:val="1"/>
      <w:numFmt w:val="decimal"/>
      <w:lvlText w:val="%1"/>
      <w:lvlJc w:val="left"/>
      <w:pPr>
        <w:tabs>
          <w:tab w:val="num" w:pos="3693"/>
        </w:tabs>
        <w:ind w:left="3693" w:hanging="432"/>
      </w:pPr>
      <w:rPr>
        <w:b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049"/>
        </w:tabs>
        <w:ind w:left="1001" w:hanging="576"/>
      </w:pPr>
      <w:rPr>
        <w:b w:val="0"/>
        <w:color w:val="00000A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185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44E62F2"/>
    <w:multiLevelType w:val="multilevel"/>
    <w:tmpl w:val="7486C218"/>
    <w:lvl w:ilvl="0">
      <w:start w:val="1"/>
      <w:numFmt w:val="decimal"/>
      <w:lvlText w:val="%1"/>
      <w:lvlJc w:val="left"/>
      <w:pPr>
        <w:ind w:left="360" w:hanging="360"/>
      </w:pPr>
      <w:rPr>
        <w:rFonts w:cs="Times New Roman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46"/>
    <w:rsid w:val="00414471"/>
    <w:rsid w:val="00717A88"/>
    <w:rsid w:val="00C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AFFC"/>
  <w15:chartTrackingRefBased/>
  <w15:docId w15:val="{D9823116-B51C-4DA6-A0ED-51FE70B9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CD6646"/>
    <w:pPr>
      <w:keepNext/>
      <w:tabs>
        <w:tab w:val="left" w:pos="3240"/>
      </w:tabs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color w:val="00000A"/>
      <w:sz w:val="28"/>
      <w:szCs w:val="32"/>
      <w:lang w:eastAsia="ru-RU"/>
    </w:rPr>
  </w:style>
  <w:style w:type="paragraph" w:styleId="2">
    <w:name w:val="heading 2"/>
    <w:basedOn w:val="a"/>
    <w:link w:val="20"/>
    <w:qFormat/>
    <w:rsid w:val="00CD6646"/>
    <w:pPr>
      <w:spacing w:before="60" w:after="0" w:line="240" w:lineRule="auto"/>
      <w:jc w:val="both"/>
      <w:outlineLvl w:val="1"/>
    </w:pPr>
    <w:rPr>
      <w:rFonts w:ascii="Times New Roman" w:eastAsia="Times New Roman" w:hAnsi="Times New Roman" w:cs="Arial"/>
      <w:bCs/>
      <w:iCs/>
      <w:color w:val="00000A"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6646"/>
    <w:rPr>
      <w:rFonts w:ascii="Times New Roman" w:eastAsia="Times New Roman" w:hAnsi="Times New Roman" w:cs="Arial"/>
      <w:b/>
      <w:bCs/>
      <w:color w:val="00000A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D6646"/>
    <w:rPr>
      <w:rFonts w:ascii="Times New Roman" w:eastAsia="Times New Roman" w:hAnsi="Times New Roman" w:cs="Arial"/>
      <w:bCs/>
      <w:iCs/>
      <w:color w:val="00000A"/>
      <w:sz w:val="24"/>
      <w:szCs w:val="28"/>
      <w:lang w:eastAsia="ru-RU"/>
    </w:rPr>
  </w:style>
  <w:style w:type="character" w:customStyle="1" w:styleId="Entry">
    <w:name w:val="Entry"/>
    <w:qFormat/>
    <w:rsid w:val="00CD6646"/>
    <w:rPr>
      <w:b/>
    </w:rPr>
  </w:style>
  <w:style w:type="paragraph" w:styleId="a3">
    <w:name w:val="List Bullet"/>
    <w:basedOn w:val="a"/>
    <w:autoRedefine/>
    <w:qFormat/>
    <w:rsid w:val="00CD6646"/>
    <w:pPr>
      <w:spacing w:before="60" w:after="60" w:line="240" w:lineRule="auto"/>
      <w:ind w:left="318" w:hanging="284"/>
      <w:jc w:val="both"/>
    </w:pPr>
    <w:rPr>
      <w:rFonts w:ascii="Times New Roman" w:eastAsia="Times New Roman" w:hAnsi="Times New Roman" w:cs="Times New Roman"/>
      <w:color w:val="00000A"/>
      <w:sz w:val="20"/>
      <w:szCs w:val="20"/>
      <w:lang w:eastAsia="ru-RU"/>
    </w:rPr>
  </w:style>
  <w:style w:type="paragraph" w:customStyle="1" w:styleId="a4">
    <w:name w:val="Простой"/>
    <w:basedOn w:val="a"/>
    <w:qFormat/>
    <w:rsid w:val="00CD6646"/>
    <w:pPr>
      <w:spacing w:after="0" w:line="240" w:lineRule="auto"/>
    </w:pPr>
    <w:rPr>
      <w:rFonts w:ascii="Arial" w:eastAsia="Times New Roman" w:hAnsi="Arial" w:cs="Times New Roman"/>
      <w:color w:val="00000A"/>
      <w:spacing w:val="-5"/>
      <w:sz w:val="20"/>
      <w:szCs w:val="20"/>
    </w:rPr>
  </w:style>
  <w:style w:type="paragraph" w:customStyle="1" w:styleId="TOCBase">
    <w:name w:val="TOC Base"/>
    <w:basedOn w:val="a"/>
    <w:qFormat/>
    <w:rsid w:val="00CD6646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color w:val="00000A"/>
      <w:spacing w:val="-5"/>
      <w:sz w:val="20"/>
      <w:szCs w:val="20"/>
    </w:rPr>
  </w:style>
  <w:style w:type="paragraph" w:styleId="a5">
    <w:name w:val="header"/>
    <w:basedOn w:val="a"/>
    <w:link w:val="a6"/>
    <w:rsid w:val="00CD6646"/>
    <w:pPr>
      <w:tabs>
        <w:tab w:val="center" w:pos="4677"/>
        <w:tab w:val="right" w:pos="9355"/>
      </w:tabs>
      <w:spacing w:before="60" w:after="0" w:line="240" w:lineRule="auto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rsid w:val="00CD6646"/>
    <w:rPr>
      <w:rFonts w:ascii="Times New Roman" w:eastAsia="Times New Roman" w:hAnsi="Times New Roman" w:cs="Times New Roman"/>
      <w:color w:val="00000A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CD6646"/>
    <w:pPr>
      <w:spacing w:before="60" w:after="0" w:line="240" w:lineRule="auto"/>
      <w:ind w:left="720"/>
      <w:contextualSpacing/>
      <w:jc w:val="both"/>
    </w:pPr>
    <w:rPr>
      <w:rFonts w:ascii="Arial" w:eastAsia="Times New Roman" w:hAnsi="Arial" w:cs="Times New Roman"/>
      <w:color w:val="00000A"/>
      <w:szCs w:val="20"/>
      <w:lang w:eastAsia="ru-RU"/>
    </w:rPr>
  </w:style>
  <w:style w:type="table" w:styleId="a8">
    <w:name w:val="Table Grid"/>
    <w:basedOn w:val="a1"/>
    <w:uiPriority w:val="59"/>
    <w:rsid w:val="00CD66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А. Кулабухов</dc:creator>
  <cp:keywords/>
  <dc:description/>
  <cp:lastModifiedBy>Сергей А. Кулабухов</cp:lastModifiedBy>
  <cp:revision>1</cp:revision>
  <dcterms:created xsi:type="dcterms:W3CDTF">2018-04-17T12:14:00Z</dcterms:created>
  <dcterms:modified xsi:type="dcterms:W3CDTF">2018-04-17T12:16:00Z</dcterms:modified>
</cp:coreProperties>
</file>