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Valuing 3- and 4-Asset Spread/Rainbow Options: A Comparative Study</w:t>
      </w:r>
    </w:p>
    <w:p>
      <w:r>
        <w:t xml:space="preserve">Prepared by: </w:t>
      </w:r>
      <w:r>
        <w:rPr>
          <w:b/>
        </w:rPr>
        <w:t>Dmitry Goryunov</w:t>
      </w:r>
    </w:p>
    <w:p>
      <w:r>
        <w:t xml:space="preserve">Date: </w:t>
      </w:r>
      <w:r>
        <w:rPr>
          <w:b/>
        </w:rPr>
        <w:t>18 March 2026</w:t>
      </w:r>
    </w:p>
    <w:p/>
    <w:p>
      <w:pPr>
        <w:pStyle w:val="Heading2"/>
      </w:pPr>
      <w:r>
        <w:t>Executive Summary</w:t>
      </w:r>
    </w:p>
    <w:p>
      <w:r>
        <w:t>We benchmark three fast approximations—(i) Presentation (Kirk/Margrabe + pairwise ranking), (ii) LZD conditional quadrature (pairwise, 1-D), and (iii) Presentation with improved ranking—against a Monte-Carlo (MC) reference under lognormal dynamics. The Presentation model is extremely fast and usable for 3 assets when vols are similar and correlations are moderate to high. The LZD pair engine improves pair accuracy (notably for K&gt;0 or uneven vols) but inherits the same ranking-factorization limitations when extended to 3/4 assets. The MC benchmark remains the gold standard but is the slowest.</w:t>
      </w:r>
    </w:p>
    <w:p>
      <w:pPr>
        <w:pStyle w:val="Heading2"/>
      </w:pPr>
      <w:r>
        <w:t>Methodology</w:t>
      </w:r>
    </w:p>
    <w:p>
      <w:r>
        <w:t>Under risk-neutral GBM assumptions, forwards (netbacks) F follow correlated lognormal distributions. Payoff: max_{k&gt;=2}(S_k - S_1 - K, 0). We price pair spreads with either Kirk/Margrabe (Presentation) or Li–Zhou–Deng (LZD) conditional quadrature. For 3/4-asset cases, we decompose into pair terms vs base and scale by outranking probabilities; this is exact only when ranking events factorize—an assumption that becomes fragile as dimensionality and correlation increase.</w:t>
      </w:r>
    </w:p>
    <w:p>
      <w:pPr>
        <w:pStyle w:val="Heading2"/>
      </w:pPr>
      <w:r>
        <w:t>Models</w:t>
      </w:r>
    </w:p>
    <w:p>
      <w:pPr>
        <w:pStyle w:val="Heading3"/>
      </w:pPr>
      <w:r>
        <w:t>1) Presentation (Kirk/Margrabe + Pairwise Ranking)</w:t>
      </w:r>
    </w:p>
    <w:p>
      <w:r>
        <w:t>Price each alternative vs base using Kirk (Margrabe when K=0). For 3 assets: V ≈ V(2,1) + V(3,1)×P(S3&gt;S2). For 4 assets: add V(4,1)×P(S4&gt;S2)×P(S4&gt;S3).</w:t>
      </w:r>
    </w:p>
    <w:p>
      <w:r>
        <w:t>Pros:</w:t>
      </w:r>
    </w:p>
    <w:p>
      <w:r>
        <w:t>• Fastest; closed-form pairs; easy to audit</w:t>
      </w:r>
    </w:p>
    <w:p>
      <w:r>
        <w:t>• Reasonable for 3 assets when vols similar &amp; correlations moderate-high</w:t>
      </w:r>
    </w:p>
    <w:p>
      <w:r>
        <w:t>Cons:</w:t>
      </w:r>
    </w:p>
    <w:p>
      <w:r>
        <w:t>• Ranking factorization is structurally wrong for &gt;2 assets</w:t>
      </w:r>
    </w:p>
    <w:p>
      <w:r>
        <w:t>• Bias grows when legs are close and correlated</w:t>
      </w:r>
    </w:p>
    <w:p>
      <w:r>
        <w:t>• 4-asset extension is fragile</w:t>
      </w:r>
    </w:p>
    <w:p>
      <w:pPr>
        <w:pStyle w:val="Heading3"/>
      </w:pPr>
      <w:r>
        <w:t>2) LZD Conditional Quadrature (Pairwise, 1-D)</w:t>
      </w:r>
    </w:p>
    <w:p>
      <w:r>
        <w:t>One-dimensional Gauss–Hermite integration by conditioning on S1; inner term is a Black call on the conditional S2. Extended to 3/4 assets by same ranking scaffold.</w:t>
      </w:r>
    </w:p>
    <w:p>
      <w:r>
        <w:t>Pros:</w:t>
      </w:r>
    </w:p>
    <w:p>
      <w:r>
        <w:t>• More accurate pair pricing than Kirk when K&gt;0 or vols are uneven</w:t>
      </w:r>
    </w:p>
    <w:p>
      <w:r>
        <w:t>• Very fast; accuracy tunable via nodes</w:t>
      </w:r>
    </w:p>
    <w:p>
      <w:r>
        <w:t>Cons:</w:t>
      </w:r>
    </w:p>
    <w:p>
      <w:r>
        <w:t>• Extension still uses approximate ranking</w:t>
      </w:r>
    </w:p>
    <w:p>
      <w:r>
        <w:t>• Not a true multivariate method</w:t>
      </w:r>
    </w:p>
    <w:p>
      <w:pPr>
        <w:pStyle w:val="Heading3"/>
      </w:pPr>
      <w:r>
        <w:t>3) Monte-Carlo (Benchmark)</w:t>
      </w:r>
    </w:p>
    <w:p>
      <w:r>
        <w:t>Correlated GBM simulation with antithetic variates; payoff evaluated pathwise.</w:t>
      </w:r>
    </w:p>
    <w:p>
      <w:r>
        <w:t>Pros:</w:t>
      </w:r>
    </w:p>
    <w:p>
      <w:r>
        <w:t>• Most accurate and flexible; handles any correlation/vol structure and number of legs</w:t>
      </w:r>
    </w:p>
    <w:p>
      <w:r>
        <w:t>Cons:</w:t>
      </w:r>
    </w:p>
    <w:p>
      <w:r>
        <w:t>• Slowest; statistical noise; needs many paths for tight confidence intervals</w:t>
      </w:r>
    </w:p>
    <w:p>
      <w:pPr>
        <w:pStyle w:val="Heading2"/>
      </w:pPr>
      <w:r>
        <w:t>Results</w:t>
      </w:r>
    </w:p>
    <w:p>
      <w:r>
        <w:t>Figure 1 compares values for the 3-asset case (Presentation, LZD-ext, MC).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asset_val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compares runtimes for the 3-asset case.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asset_run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 compares values for the 4-asset case.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asset_valu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 compares runtimes for the 4-asset case.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asset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 shows absolute error vs MC across a uniform correlation grid for the 4-asset case. Both approximations degrade as correlation changes, with LZD-ext generally closer to MC than the Presentation model when vols are uneven.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ror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Practical Guidance</w:t>
      </w:r>
    </w:p>
    <w:p>
      <w:r>
        <w:t>• Use Presentation for rapid screening in 3-asset setups with similar vols and moderate/high correlation; validate against MC on a small scenario set.</w:t>
        <w:br/>
        <w:t>• Prefer LZD pair pricing over Kirk when K&gt;0 or vols diverge.</w:t>
        <w:br/>
        <w:t>• For 4+ assets, avoid factorized ranking unless you can tolerate bias; fall back to MC or an MVN-aware ranking module.</w:t>
        <w:br/>
        <w:t>• Operational LNG decisions require embedding diversion value within a broader model (storage, send-out, shipping) rather than pricing in isolation.</w:t>
      </w:r>
    </w:p>
    <w:p>
      <w:pPr>
        <w:pStyle w:val="Heading2"/>
      </w:pPr>
      <w:r>
        <w:t>Limitations and Future Work</w:t>
      </w:r>
    </w:p>
    <w:p>
      <w:r>
        <w:t>The ranking-factorization assumption is the main source of bias beyond two assets. Replacing the 4th-leg factor with a joint MVN outranking probability reduces, but does not eliminate, this bias. A future step is to implement full multivariate-normal orthant probabilities for ranking events and/or Curran-style conditioning to reduce dimensionality while preserving multivariate dependence.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