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jc w:val="center"/>
      </w:pPr>
      <w:r>
        <w:rPr>
          <w:rFonts w:ascii="Arial" w:cs="Arial" w:eastAsia="Arial" w:hAnsi="Arial"/>
          <w:b/>
          <w:bCs/>
          <w:color w:val="1A5276"/>
          <w:sz w:val="52"/>
          <w:szCs w:val="52"/>
        </w:rPr>
        <w:t xml:space="preserve">C1 LNG FLEET OPTIMIZER</w:t>
      </w:r>
    </w:p>
    <w:p>
      <w:pPr>
        <w:spacing w:after="120"/>
        <w:jc w:val="center"/>
      </w:pPr>
      <w:r>
        <w:rPr>
          <w:rFonts w:ascii="Arial" w:cs="Arial" w:eastAsia="Arial" w:hAnsi="Arial"/>
          <w:color w:val="2E75B6"/>
          <w:sz w:val="26"/>
          <w:szCs w:val="26"/>
        </w:rPr>
        <w:t xml:space="preserve">PROJECT OVERVIEW, REASONING &amp; ACQUISITION CASE</w:t>
      </w:r>
    </w:p>
    <w:p>
      <w:pPr>
        <w:pBdr>
          <w:bottom w:val="single" w:color="1A5276" w:sz="6" w:space="1"/>
        </w:pBdr>
        <w:spacing w:after="600"/>
        <w:jc w:val="center"/>
      </w:pPr>
      <w:r>
        <w:rPr>
          <w:sz w:val="12"/>
          <w:szCs w:val="12"/>
        </w:rPr>
        <w:t xml:space="preserve"> </w:t>
      </w:r>
    </w:p>
    <w:p>
      <w:pPr>
        <w:spacing w:after="80"/>
        <w:jc w:val="center"/>
      </w:pPr>
      <w:r>
        <w:rPr>
          <w:rFonts w:ascii="Arial" w:cs="Arial" w:eastAsia="Arial" w:hAnsi="Arial"/>
          <w:color w:val="555555"/>
          <w:sz w:val="22"/>
          <w:szCs w:val="22"/>
        </w:rPr>
        <w:t xml:space="preserve">From 6-vessel portfolio optimisation to 8-vessel acquisition strategy</w:t>
      </w:r>
    </w:p>
    <w:p>
      <w:pPr>
        <w:spacing w:after="80"/>
        <w:jc w:val="center"/>
      </w:pPr>
      <w:r>
        <w:rPr>
          <w:rFonts w:ascii="Arial" w:cs="Arial" w:eastAsia="Arial" w:hAnsi="Arial"/>
          <w:color w:val="777777"/>
          <w:sz w:val="22"/>
          <w:szCs w:val="22"/>
        </w:rPr>
        <w:t xml:space="preserve">Version 7 — March 2026</w:t>
      </w:r>
    </w:p>
    <w:p>
      <w:pPr>
        <w:spacing w:after="80"/>
        <w:jc w:val="center"/>
      </w:pPr>
      <w:r>
        <w:rPr>
          <w:rFonts w:ascii="Arial" w:cs="Arial" w:eastAsia="Arial" w:hAnsi="Arial"/>
          <w:b/>
          <w:bCs/>
          <w:color w:val="C0392B"/>
          <w:sz w:val="20"/>
          <w:szCs w:val="20"/>
        </w:rPr>
        <w:t xml:space="preserve">CONFIDENTIAL</w:t>
      </w:r>
    </w:p>
    <w:p>
      <w:r>
        <w:br w:type="page"/>
      </w:r>
    </w:p>
    <w:p>
      <w:pPr>
        <w:spacing w:after="200"/>
      </w:pPr>
      <w:r>
        <w:rPr>
          <w:rFonts w:ascii="Arial" w:cs="Arial" w:eastAsia="Arial" w:hAnsi="Arial"/>
          <w:b/>
          <w:bCs/>
          <w:color w:val="1A5276"/>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40" w:line="288"/>
      </w:pPr>
      <w:r>
        <w:rPr>
          <w:rFonts w:ascii="Arial" w:cs="Arial" w:eastAsia="Arial" w:hAnsi="Arial"/>
          <w:sz w:val="22"/>
          <w:szCs w:val="22"/>
        </w:rPr>
        <w:t xml:space="preserve">This document explains the complete reasoning chain behind the C1 LNG Fleet Optimizer, from initial problem definition through to the acquisition recommendation for C2 LNG’s C2Force and C2Pride. The project evolved through three phases:</w:t>
      </w:r>
    </w:p>
    <w:p>
      <w:pPr>
        <w:pStyle w:val="ListParagraph"/>
        <w:numPr>
          <w:ilvl w:val="0"/>
          <w:numId w:val="2"/>
        </w:numPr>
        <w:spacing w:after="80"/>
      </w:pPr>
      <w:r>
        <w:rPr>
          <w:rFonts w:ascii="Arial" w:cs="Arial" w:eastAsia="Arial" w:hAnsi="Arial"/>
          <w:b/>
          <w:bCs/>
          <w:sz w:val="22"/>
          <w:szCs w:val="22"/>
        </w:rPr>
        <w:t xml:space="preserve">Portfolio optimisation (v6): </w:t>
      </w:r>
      <w:r>
        <w:rPr>
          <w:rFonts w:ascii="Arial" w:cs="Arial" w:eastAsia="Arial" w:hAnsi="Arial"/>
          <w:sz w:val="22"/>
          <w:szCs w:val="22"/>
        </w:rPr>
        <w:t xml:space="preserve">Build a stochastic model for C1’s 6-vessel LNG fleet covering route economics, hedging, and two-stage re-routing to maximise E[P&amp;L] while controlling CVaR.</w:t>
      </w:r>
    </w:p>
    <w:p>
      <w:pPr>
        <w:pStyle w:val="ListParagraph"/>
        <w:numPr>
          <w:ilvl w:val="0"/>
          <w:numId w:val="2"/>
        </w:numPr>
        <w:spacing w:after="80"/>
      </w:pPr>
      <w:r>
        <w:rPr>
          <w:rFonts w:ascii="Arial" w:cs="Arial" w:eastAsia="Arial" w:hAnsi="Arial"/>
          <w:b/>
          <w:bCs/>
          <w:sz w:val="22"/>
          <w:szCs w:val="22"/>
        </w:rPr>
        <w:t xml:space="preserve">Logic improvements (v7): </w:t>
      </w:r>
      <w:r>
        <w:rPr>
          <w:rFonts w:ascii="Arial" w:cs="Arial" w:eastAsia="Arial" w:hAnsi="Arial"/>
          <w:sz w:val="22"/>
          <w:szCs w:val="22"/>
        </w:rPr>
        <w:t xml:space="preserve">Fix eight modelling gaps — destination-linked boil-off, vessel-specific freight, Margrabe real-options pricing, canal disruption, regime-switching correlations, dynamic hedge triggers, full round-trip cycles, and laytime risk.</w:t>
      </w:r>
    </w:p>
    <w:p>
      <w:pPr>
        <w:pStyle w:val="ListParagraph"/>
        <w:numPr>
          <w:ilvl w:val="0"/>
          <w:numId w:val="2"/>
        </w:numPr>
        <w:spacing w:after="80"/>
      </w:pPr>
      <w:r>
        <w:rPr>
          <w:rFonts w:ascii="Arial" w:cs="Arial" w:eastAsia="Arial" w:hAnsi="Arial"/>
          <w:b/>
          <w:bCs/>
          <w:sz w:val="22"/>
          <w:szCs w:val="22"/>
        </w:rPr>
        <w:t xml:space="preserve">Acquisition case: </w:t>
      </w:r>
      <w:r>
        <w:rPr>
          <w:rFonts w:ascii="Arial" w:cs="Arial" w:eastAsia="Arial" w:hAnsi="Arial"/>
          <w:sz w:val="22"/>
          <w:szCs w:val="22"/>
        </w:rPr>
        <w:t xml:space="preserve">Quantify the marginal value of adding C2 LNG’s C2Force and C2Pride (2 × 156,000 m³ TFDE) to the portfolio, showing +$5.66M CVaR improvement, +$2.45M two-stage uplift, and −$3.07M standard deviation reduction from diversification.</w:t>
      </w:r>
    </w:p>
    <w:p>
      <w:pPr>
        <w:spacing w:after="140" w:line="288"/>
      </w:pPr>
      <w:r>
        <w:rPr>
          <w:rFonts w:ascii="Arial" w:cs="Arial" w:eastAsia="Arial" w:hAnsi="Arial"/>
          <w:sz w:val="22"/>
          <w:szCs w:val="22"/>
        </w:rPr>
        <w:t xml:space="preserve">The core insight: the most valuable ships are not those with the highest static margin, but those that preserve the ability to respond when market relationships shift. Adding C2Force and C2Pride introduces a new supply origin (Middle East/Qatar) and expands the swing fleet from 3 to 5 vessels, directly amplifying this optionality.</w:t>
      </w:r>
    </w:p>
    <w:p>
      <w:r>
        <w:br w:type="page"/>
      </w:r>
    </w:p>
    <w:p>
      <w:pPr>
        <w:pStyle w:val="Heading1"/>
      </w:pPr>
      <w:r>
        <w:t xml:space="preserve">2. Problem Definition</w:t>
      </w:r>
    </w:p>
    <w:p>
      <w:pPr>
        <w:pStyle w:val="Heading2"/>
      </w:pPr>
      <w:r>
        <w:t xml:space="preserve">2.1 The business context</w:t>
      </w:r>
    </w:p>
    <w:p>
      <w:pPr>
        <w:spacing w:after="140" w:line="288"/>
      </w:pPr>
      <w:r>
        <w:rPr>
          <w:rFonts w:ascii="Arial" w:cs="Arial" w:eastAsia="Arial" w:hAnsi="Arial"/>
          <w:sz w:val="22"/>
          <w:szCs w:val="22"/>
        </w:rPr>
        <w:t xml:space="preserve">C1 operates a fleet of 6 LNG carriers across three supply origins (US Gulf, Nigeria, Australia) serving two destination basins (Europe/TTF, Asia/JKM). Three vessels are on DES contracts (destination fixed by contract) and three are FOB (free to choose destination). The commercial question is: how should the fleet be managed to maximise expected profit while protecting against downside risk?</w:t>
      </w:r>
    </w:p>
    <w:p>
      <w:pPr>
        <w:pStyle w:val="Heading2"/>
      </w:pPr>
      <w:r>
        <w:t xml:space="preserve">2.2 Why a portfolio approach matters</w:t>
      </w:r>
    </w:p>
    <w:p>
      <w:pPr>
        <w:spacing w:after="140" w:line="288"/>
      </w:pPr>
      <w:r>
        <w:rPr>
          <w:rFonts w:ascii="Arial" w:cs="Arial" w:eastAsia="Arial" w:hAnsi="Arial"/>
          <w:sz w:val="22"/>
          <w:szCs w:val="22"/>
        </w:rPr>
        <w:t xml:space="preserve">Treating each ship independently ignores two critical effects:</w:t>
      </w:r>
    </w:p>
    <w:p>
      <w:pPr>
        <w:pStyle w:val="ListParagraph"/>
        <w:numPr>
          <w:ilvl w:val="0"/>
          <w:numId w:val="3"/>
        </w:numPr>
        <w:spacing w:after="80"/>
      </w:pPr>
      <w:r>
        <w:rPr>
          <w:rFonts w:ascii="Arial" w:cs="Arial" w:eastAsia="Arial" w:hAnsi="Arial"/>
          <w:sz w:val="22"/>
          <w:szCs w:val="22"/>
        </w:rPr>
        <w:t xml:space="preserve">Diversification: ships with different supply origins (HH-linked vs Brent-linked) and different destinations (TTF vs JKM) have imperfectly correlated P&amp;L outcomes. The portfolio’s risk is lower than the sum of individual ship risks.</w:t>
      </w:r>
    </w:p>
    <w:p>
      <w:pPr>
        <w:pStyle w:val="ListParagraph"/>
        <w:numPr>
          <w:ilvl w:val="0"/>
          <w:numId w:val="3"/>
        </w:numPr>
        <w:spacing w:after="80"/>
      </w:pPr>
      <w:r>
        <w:rPr>
          <w:rFonts w:ascii="Arial" w:cs="Arial" w:eastAsia="Arial" w:hAnsi="Arial"/>
          <w:sz w:val="22"/>
          <w:szCs w:val="22"/>
        </w:rPr>
        <w:t xml:space="preserve">Optionality: FOB swing ships can switch destination after prices evolve. This option has real value that only exists at the portfolio level — no single ship ‘captures’ it in isolation.</w:t>
      </w:r>
    </w:p>
    <w:p>
      <w:pPr>
        <w:spacing w:after="140" w:line="288"/>
      </w:pPr>
      <w:r>
        <w:rPr>
          <w:rFonts w:ascii="Arial" w:cs="Arial" w:eastAsia="Arial" w:hAnsi="Arial"/>
          <w:sz w:val="22"/>
          <w:szCs w:val="22"/>
        </w:rPr>
        <w:t xml:space="preserve">The project quantifies both effects precisely, showing that portfolio management adds +$10.45M to expected P&amp;L and +$19.10M to CVaR versus a naïve ship-by-ship approach.</w:t>
      </w:r>
    </w:p>
    <w:p>
      <w:pPr>
        <w:pStyle w:val="Heading2"/>
      </w:pPr>
      <w:r>
        <w:t xml:space="preserve">2.3 What the model must do</w:t>
      </w:r>
    </w:p>
    <w:p>
      <w:pPr>
        <w:pStyle w:val="ListParagraph"/>
        <w:numPr>
          <w:ilvl w:val="0"/>
          <w:numId w:val="2"/>
        </w:numPr>
        <w:spacing w:after="80"/>
      </w:pPr>
      <w:r>
        <w:rPr>
          <w:rFonts w:ascii="Arial" w:cs="Arial" w:eastAsia="Arial" w:hAnsi="Arial"/>
          <w:sz w:val="22"/>
          <w:szCs w:val="22"/>
        </w:rPr>
        <w:t xml:space="preserve">Build deterministic route economics for every feasible ship-route combination.</w:t>
      </w:r>
    </w:p>
    <w:p>
      <w:pPr>
        <w:pStyle w:val="ListParagraph"/>
        <w:numPr>
          <w:ilvl w:val="0"/>
          <w:numId w:val="2"/>
        </w:numPr>
        <w:spacing w:after="80"/>
      </w:pPr>
      <w:r>
        <w:rPr>
          <w:rFonts w:ascii="Arial" w:cs="Arial" w:eastAsia="Arial" w:hAnsi="Arial"/>
          <w:sz w:val="22"/>
          <w:szCs w:val="22"/>
        </w:rPr>
        <w:t xml:space="preserve">Assign each vessel to a bucket (committed/swing/hold) with appropriate hedge ratios.</w:t>
      </w:r>
    </w:p>
    <w:p>
      <w:pPr>
        <w:pStyle w:val="ListParagraph"/>
        <w:numPr>
          <w:ilvl w:val="0"/>
          <w:numId w:val="2"/>
        </w:numPr>
        <w:spacing w:after="80"/>
      </w:pPr>
      <w:r>
        <w:rPr>
          <w:rFonts w:ascii="Arial" w:cs="Arial" w:eastAsia="Arial" w:hAnsi="Arial"/>
          <w:sz w:val="22"/>
          <w:szCs w:val="22"/>
        </w:rPr>
        <w:t xml:space="preserve">Simulate correlated price paths (Brent, HH, TTF, JKM, freight) under regime-switching.</w:t>
      </w:r>
    </w:p>
    <w:p>
      <w:pPr>
        <w:pStyle w:val="ListParagraph"/>
        <w:numPr>
          <w:ilvl w:val="0"/>
          <w:numId w:val="2"/>
        </w:numPr>
        <w:spacing w:after="80"/>
      </w:pPr>
      <w:r>
        <w:rPr>
          <w:rFonts w:ascii="Arial" w:cs="Arial" w:eastAsia="Arial" w:hAnsi="Arial"/>
          <w:sz w:val="22"/>
          <w:szCs w:val="22"/>
        </w:rPr>
        <w:t xml:space="preserve">Run two-stage optimisation: commit fixed ships at stage 1, re-route swing ships at stage 2.</w:t>
      </w:r>
    </w:p>
    <w:p>
      <w:pPr>
        <w:pStyle w:val="ListParagraph"/>
        <w:numPr>
          <w:ilvl w:val="0"/>
          <w:numId w:val="2"/>
        </w:numPr>
        <w:spacing w:after="80"/>
      </w:pPr>
      <w:r>
        <w:rPr>
          <w:rFonts w:ascii="Arial" w:cs="Arial" w:eastAsia="Arial" w:hAnsi="Arial"/>
          <w:sz w:val="22"/>
          <w:szCs w:val="22"/>
        </w:rPr>
        <w:t xml:space="preserve">Output actionable metrics: E[P&amp;L], P5, CVaR, hedge dashboard, ship-by-ship action list.</w:t>
      </w:r>
    </w:p>
    <w:p>
      <w:r>
        <w:br w:type="page"/>
      </w:r>
    </w:p>
    <w:p>
      <w:pPr>
        <w:pStyle w:val="Heading1"/>
      </w:pPr>
      <w:r>
        <w:t xml:space="preserve">3. Step-by-Step Model Construction</w:t>
      </w:r>
    </w:p>
    <w:p>
      <w:pPr>
        <w:pStyle w:val="Heading2"/>
      </w:pPr>
      <w:r>
        <w:t xml:space="preserve">Step 1: Deterministic Route Matrix</w:t>
      </w:r>
    </w:p>
    <w:p>
      <w:pPr>
        <w:spacing w:after="140" w:line="288"/>
      </w:pPr>
      <w:r>
        <w:rPr>
          <w:rFonts w:ascii="Arial" w:cs="Arial" w:eastAsia="Arial" w:hAnsi="Arial"/>
          <w:sz w:val="22"/>
          <w:szCs w:val="22"/>
        </w:rPr>
        <w:t xml:space="preserve">For each of the 6 routes (3 origins × 2 destinations), compute the cargo margin per MMBtu:</w:t>
      </w:r>
    </w:p>
    <w:p>
      <w:pPr>
        <w:spacing w:before="60" w:after="60"/>
        <w:ind w:left="400"/>
      </w:pPr>
      <w:r>
        <w:rPr>
          <w:rFonts w:ascii="Courier New" w:cs="Courier New" w:eastAsia="Courier New" w:hAnsi="Courier New"/>
          <w:color w:val="1A5276"/>
          <w:sz w:val="20"/>
          <w:szCs w:val="20"/>
        </w:rPr>
        <w:t xml:space="preserve">Margin = DES_price − FOB_cost − Freight − Boil-off − Port − Canal − E[Demurrage]</w:t>
      </w:r>
    </w:p>
    <w:p>
      <w:pPr>
        <w:spacing w:after="140" w:line="288"/>
      </w:pPr>
      <w:r>
        <w:rPr>
          <w:rFonts w:ascii="Arial" w:cs="Arial" w:eastAsia="Arial" w:hAnsi="Arial"/>
          <w:sz w:val="22"/>
          <w:szCs w:val="22"/>
        </w:rPr>
        <w:t xml:space="preserve">The v7 model values boil-off at the destination price (not a flat $12/MMBtu), uses vessel-specific freight (140k m³ pays +20% vs 174k m³), and includes full round-trip cycle times (laden + discharge + ballast return + waiting). The primary ranking metric is margin per day, not raw margin — this correctly penalises long-haul routes with high absolute margins but slow capital turns.</w:t>
      </w:r>
    </w:p>
    <w:p>
      <w:pPr>
        <w:pStyle w:val="Heading2"/>
      </w:pPr>
      <w:r>
        <w:t xml:space="preserve">Step 2: Ship-by-Ship Assignment</w:t>
      </w:r>
    </w:p>
    <w:p>
      <w:pPr>
        <w:spacing w:after="140" w:line="288"/>
      </w:pPr>
      <w:r>
        <w:rPr>
          <w:rFonts w:ascii="Arial" w:cs="Arial" w:eastAsia="Arial" w:hAnsi="Arial"/>
          <w:sz w:val="22"/>
          <w:szCs w:val="22"/>
        </w:rPr>
        <w:t xml:space="preserve">Each vessel is assigned to a bucket based on its contractual structure:</w:t>
      </w:r>
    </w:p>
    <w:p>
      <w:pPr>
        <w:pStyle w:val="ListParagraph"/>
        <w:numPr>
          <w:ilvl w:val="0"/>
          <w:numId w:val="3"/>
        </w:numPr>
        <w:spacing w:after="80"/>
      </w:pPr>
      <w:r>
        <w:rPr>
          <w:rFonts w:ascii="Arial" w:cs="Arial" w:eastAsia="Arial" w:hAnsi="Arial"/>
          <w:sz w:val="22"/>
          <w:szCs w:val="22"/>
        </w:rPr>
        <w:t xml:space="preserve">Committed (DES): Ships 1, 3, 4 — destination locked by contract. Hedged at 80–90%.</w:t>
      </w:r>
    </w:p>
    <w:p>
      <w:pPr>
        <w:pStyle w:val="ListParagraph"/>
        <w:numPr>
          <w:ilvl w:val="0"/>
          <w:numId w:val="3"/>
        </w:numPr>
        <w:spacing w:after="80"/>
      </w:pPr>
      <w:r>
        <w:rPr>
          <w:rFonts w:ascii="Arial" w:cs="Arial" w:eastAsia="Arial" w:hAnsi="Arial"/>
          <w:sz w:val="22"/>
          <w:szCs w:val="22"/>
        </w:rPr>
        <w:t xml:space="preserve">Swing (FOB): Ships 2, 5, 6 — free to choose destination. Hedged at 35–50%, preserving optionality.</w:t>
      </w:r>
    </w:p>
    <w:p>
      <w:pPr>
        <w:spacing w:after="140" w:line="288"/>
      </w:pPr>
      <w:r>
        <w:rPr>
          <w:rFonts w:ascii="Arial" w:cs="Arial" w:eastAsia="Arial" w:hAnsi="Arial"/>
          <w:sz w:val="22"/>
          <w:szCs w:val="22"/>
        </w:rPr>
        <w:t xml:space="preserve">The assignment table captures: current basin/position, feasible origin set, days to load/discharge per route, margin/day, and the Margrabe option premium for each swing ship.</w:t>
      </w:r>
    </w:p>
    <w:p>
      <w:pPr>
        <w:pStyle w:val="Heading2"/>
      </w:pPr>
      <w:r>
        <w:t xml:space="preserve">Step 3: Initial Hedging Layer</w:t>
      </w:r>
    </w:p>
    <w:p>
      <w:pPr>
        <w:spacing w:after="140" w:line="288"/>
      </w:pPr>
      <w:r>
        <w:rPr>
          <w:rFonts w:ascii="Arial" w:cs="Arial" w:eastAsia="Arial" w:hAnsi="Arial"/>
          <w:sz w:val="22"/>
          <w:szCs w:val="22"/>
        </w:rPr>
        <w:t xml:space="preserve">Benchmark mapping: US-origin → hedge HH; Nigeria/Australia-origin → hedge Brent; Europe sales → hedge TTF; Asia sales → hedge JKM. The v7 model adds dynamic triggers that adjust hedge ratios in response to spread movements:</w:t>
      </w:r>
    </w:p>
    <w:p>
      <w:pPr>
        <w:pStyle w:val="ListParagraph"/>
        <w:numPr>
          <w:ilvl w:val="0"/>
          <w:numId w:val="3"/>
        </w:numPr>
        <w:spacing w:after="80"/>
      </w:pPr>
      <w:r>
        <w:rPr>
          <w:rFonts w:ascii="Arial" w:cs="Arial" w:eastAsia="Arial" w:hAnsi="Arial"/>
          <w:sz w:val="22"/>
          <w:szCs w:val="22"/>
        </w:rPr>
        <w:t xml:space="preserve">JKM−TTF &gt; $3.00 → +15pp Asia hedge on swing ships.</w:t>
      </w:r>
    </w:p>
    <w:p>
      <w:pPr>
        <w:pStyle w:val="ListParagraph"/>
        <w:numPr>
          <w:ilvl w:val="0"/>
          <w:numId w:val="3"/>
        </w:numPr>
        <w:spacing w:after="80"/>
      </w:pPr>
      <w:r>
        <w:rPr>
          <w:rFonts w:ascii="Arial" w:cs="Arial" w:eastAsia="Arial" w:hAnsi="Arial"/>
          <w:sz w:val="22"/>
          <w:szCs w:val="22"/>
        </w:rPr>
        <w:t xml:space="preserve">HH &gt; $3.50 → −20pp on US-origin ships (await mean reversion).</w:t>
      </w:r>
    </w:p>
    <w:p>
      <w:pPr>
        <w:pStyle w:val="ListParagraph"/>
        <w:numPr>
          <w:ilvl w:val="0"/>
          <w:numId w:val="3"/>
        </w:numPr>
        <w:spacing w:after="80"/>
      </w:pPr>
      <w:r>
        <w:rPr>
          <w:rFonts w:ascii="Arial" w:cs="Arial" w:eastAsia="Arial" w:hAnsi="Arial"/>
          <w:sz w:val="22"/>
          <w:szCs w:val="22"/>
        </w:rPr>
        <w:t xml:space="preserve">Brent &gt; $95 → reduce committed hedges to 70%.</w:t>
      </w:r>
    </w:p>
    <w:p>
      <w:pPr>
        <w:pStyle w:val="ListParagraph"/>
        <w:numPr>
          <w:ilvl w:val="0"/>
          <w:numId w:val="3"/>
        </w:numPr>
        <w:spacing w:after="80"/>
      </w:pPr>
      <w:r>
        <w:rPr>
          <w:rFonts w:ascii="Arial" w:cs="Arial" w:eastAsia="Arial" w:hAnsi="Arial"/>
          <w:sz w:val="22"/>
          <w:szCs w:val="22"/>
        </w:rPr>
        <w:t xml:space="preserve">Freight &gt; 1.5× mean → hedge via Baltic FFA immediately.</w:t>
      </w:r>
    </w:p>
    <w:p>
      <w:pPr>
        <w:pStyle w:val="Heading2"/>
      </w:pPr>
      <w:r>
        <w:t xml:space="preserve">Step 4: Stochastic Simulation</w:t>
      </w:r>
    </w:p>
    <w:p>
      <w:pPr>
        <w:spacing w:after="140" w:line="288"/>
      </w:pPr>
      <w:r>
        <w:rPr>
          <w:rFonts w:ascii="Arial" w:cs="Arial" w:eastAsia="Arial" w:hAnsi="Arial"/>
          <w:sz w:val="22"/>
          <w:szCs w:val="22"/>
        </w:rPr>
        <w:t xml:space="preserve">Simulate 5,000 correlated price paths over 90 days for Brent, HH, TTF, JKM (GBM) and freight (OU mean-reverting). The v7 model uses two-regime Markov switching:</w:t>
      </w:r>
    </w:p>
    <w:p>
      <w:pPr>
        <w:pStyle w:val="ListParagraph"/>
        <w:numPr>
          <w:ilvl w:val="0"/>
          <w:numId w:val="3"/>
        </w:numPr>
        <w:spacing w:after="80"/>
      </w:pPr>
      <w:r>
        <w:rPr>
          <w:rFonts w:ascii="Arial" w:cs="Arial" w:eastAsia="Arial" w:hAnsi="Arial"/>
          <w:sz w:val="22"/>
          <w:szCs w:val="22"/>
        </w:rPr>
        <w:t xml:space="preserve">Normal regime (π = 0.85): TTF-JKM ρ = 0.75, HH-Brent ρ = 0.15. Standard market behaviour.</w:t>
      </w:r>
    </w:p>
    <w:p>
      <w:pPr>
        <w:pStyle w:val="ListParagraph"/>
        <w:numPr>
          <w:ilvl w:val="0"/>
          <w:numId w:val="3"/>
        </w:numPr>
        <w:spacing w:after="80"/>
      </w:pPr>
      <w:r>
        <w:rPr>
          <w:rFonts w:ascii="Arial" w:cs="Arial" w:eastAsia="Arial" w:hAnsi="Arial"/>
          <w:sz w:val="22"/>
          <w:szCs w:val="22"/>
        </w:rPr>
        <w:t xml:space="preserve">Stress regime (π = 0.15): TTF-JKM drops to 0.40, Brent-TTF rises to 0.65, HH decouples further. Regional supply shocks create basin divergence.</w:t>
      </w:r>
    </w:p>
    <w:p>
      <w:pPr>
        <w:spacing w:after="140" w:line="288"/>
      </w:pPr>
      <w:r>
        <w:rPr>
          <w:rFonts w:ascii="Arial" w:cs="Arial" w:eastAsia="Arial" w:hAnsi="Arial"/>
          <w:sz w:val="22"/>
          <w:szCs w:val="22"/>
        </w:rPr>
        <w:t xml:space="preserve">Suez and Panama canal disruptions are drawn as Bernoulli events (8% and 3% per voyage), adding Cape re-routing costs when triggered.</w:t>
      </w:r>
    </w:p>
    <w:p>
      <w:pPr>
        <w:pStyle w:val="Heading2"/>
      </w:pPr>
      <w:r>
        <w:t xml:space="preserve">Step 5: Two-Stage Optimisation</w:t>
      </w:r>
    </w:p>
    <w:p>
      <w:pPr>
        <w:spacing w:after="140" w:line="288"/>
      </w:pPr>
      <w:r>
        <w:rPr>
          <w:rFonts w:ascii="Arial" w:cs="Arial" w:eastAsia="Arial" w:hAnsi="Arial"/>
          <w:sz w:val="22"/>
          <w:szCs w:val="22"/>
        </w:rPr>
        <w:t xml:space="preserve">At stage 1, fix committed ships and initial hedges. At stage 2 (after prices evolve), swing ships choose the better destination per scenario:</w:t>
      </w:r>
    </w:p>
    <w:p>
      <w:pPr>
        <w:spacing w:before="60" w:after="60"/>
        <w:ind w:left="400"/>
      </w:pPr>
      <w:r>
        <w:rPr>
          <w:rFonts w:ascii="Courier New" w:cs="Courier New" w:eastAsia="Courier New" w:hAnsi="Courier New"/>
          <w:color w:val="1A5276"/>
          <w:sz w:val="20"/>
          <w:szCs w:val="20"/>
        </w:rPr>
        <w:t xml:space="preserve">Payoff(swing) = max(Margin_Europe, Margin_Asia) per scenario</w:t>
      </w:r>
    </w:p>
    <w:p>
      <w:pPr>
        <w:spacing w:after="140" w:line="288"/>
      </w:pPr>
      <w:r>
        <w:rPr>
          <w:rFonts w:ascii="Arial" w:cs="Arial" w:eastAsia="Arial" w:hAnsi="Arial"/>
          <w:sz w:val="22"/>
          <w:szCs w:val="22"/>
        </w:rPr>
        <w:t xml:space="preserve">The two-stage uplift is +$6.41M in v7 (vs +$5.21M in v6), because regime-switching creates more scenarios where the two basins diverge, making destination flexibility more valuable. The objective function maximises expected portfolio value minus a CVaR penalty, explicitly rewarding optionality.</w:t>
      </w:r>
    </w:p>
    <w:p>
      <w:pPr>
        <w:pStyle w:val="Heading2"/>
      </w:pPr>
      <w:r>
        <w:t xml:space="preserve">Step 6: Portfolio Output</w:t>
      </w:r>
    </w:p>
    <w:p>
      <w:pPr>
        <w:spacing w:after="140" w:line="288"/>
      </w:pPr>
      <w:r>
        <w:rPr>
          <w:rFonts w:ascii="Arial" w:cs="Arial" w:eastAsia="Arial" w:hAnsi="Arial"/>
          <w:sz w:val="22"/>
          <w:szCs w:val="22"/>
        </w:rPr>
        <w:t xml:space="preserve">Four deliverables for the trading desk:</w:t>
      </w:r>
    </w:p>
    <w:p>
      <w:pPr>
        <w:pStyle w:val="ListParagraph"/>
        <w:numPr>
          <w:ilvl w:val="0"/>
          <w:numId w:val="2"/>
        </w:numPr>
        <w:spacing w:after="80"/>
      </w:pPr>
      <w:r>
        <w:rPr>
          <w:rFonts w:ascii="Arial" w:cs="Arial" w:eastAsia="Arial" w:hAnsi="Arial"/>
          <w:sz w:val="22"/>
          <w:szCs w:val="22"/>
        </w:rPr>
        <w:t xml:space="preserve">Base-case fleet view: best route + margin/day per vessel.</w:t>
      </w:r>
    </w:p>
    <w:p>
      <w:pPr>
        <w:pStyle w:val="ListParagraph"/>
        <w:numPr>
          <w:ilvl w:val="0"/>
          <w:numId w:val="2"/>
        </w:numPr>
        <w:spacing w:after="80"/>
      </w:pPr>
      <w:r>
        <w:rPr>
          <w:rFonts w:ascii="Arial" w:cs="Arial" w:eastAsia="Arial" w:hAnsi="Arial"/>
          <w:sz w:val="22"/>
          <w:szCs w:val="22"/>
        </w:rPr>
        <w:t xml:space="preserve">Hedge dashboard: % hedged by benchmark, dynamic trigger status.</w:t>
      </w:r>
    </w:p>
    <w:p>
      <w:pPr>
        <w:pStyle w:val="ListParagraph"/>
        <w:numPr>
          <w:ilvl w:val="0"/>
          <w:numId w:val="2"/>
        </w:numPr>
        <w:spacing w:after="80"/>
      </w:pPr>
      <w:r>
        <w:rPr>
          <w:rFonts w:ascii="Arial" w:cs="Arial" w:eastAsia="Arial" w:hAnsi="Arial"/>
          <w:sz w:val="22"/>
          <w:szCs w:val="22"/>
        </w:rPr>
        <w:t xml:space="preserve">Scenario summary: E[P&amp;L], P5, P95, CVaR — split by regime.</w:t>
      </w:r>
    </w:p>
    <w:p>
      <w:pPr>
        <w:pStyle w:val="ListParagraph"/>
        <w:numPr>
          <w:ilvl w:val="0"/>
          <w:numId w:val="2"/>
        </w:numPr>
        <w:spacing w:after="80"/>
      </w:pPr>
      <w:r>
        <w:rPr>
          <w:rFonts w:ascii="Arial" w:cs="Arial" w:eastAsia="Arial" w:hAnsi="Arial"/>
          <w:sz w:val="22"/>
          <w:szCs w:val="22"/>
        </w:rPr>
        <w:t xml:space="preserve">Ship action list: Fix / Hold / Partial hedge / Redirect + trigger alerts.</w:t>
      </w:r>
    </w:p>
    <w:p>
      <w:r>
        <w:br w:type="page"/>
      </w:r>
    </w:p>
    <w:p>
      <w:pPr>
        <w:pStyle w:val="Heading1"/>
      </w:pPr>
      <w:r>
        <w:t xml:space="preserve">4. The Portfolio Effect</w:t>
      </w:r>
    </w:p>
    <w:p>
      <w:pPr>
        <w:pStyle w:val="Heading2"/>
      </w:pPr>
      <w:r>
        <w:t xml:space="preserve">4.1 Why individual ships understate value</w:t>
      </w:r>
    </w:p>
    <w:p>
      <w:pPr>
        <w:spacing w:after="140" w:line="288"/>
      </w:pPr>
      <w:r>
        <w:rPr>
          <w:rFonts w:ascii="Arial" w:cs="Arial" w:eastAsia="Arial" w:hAnsi="Arial"/>
          <w:sz w:val="22"/>
          <w:szCs w:val="22"/>
        </w:rPr>
        <w:t xml:space="preserve">If you manage each ship independently and sum the P&amp;L, you get a ‘sum-of-parts’ estimate that assumes all ships are perfectly correlated (ρ = 1). This is the worst case for risk: it implies all ships have their worst outcomes simultaneously. In reality, the low HH-Brent correlation (0.15 in normal, 0.05 in stress) means US-origin and oil-linked ships rarely blow up together.</w:t>
      </w:r>
    </w:p>
    <w:p>
      <w:pPr>
        <w:pStyle w:val="Heading2"/>
      </w:pPr>
      <w:r>
        <w:t xml:space="preserve">4.2 Quantified benefits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c>
          <w:tcPr>
            <w:tcW w:type="dxa" w:w="25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17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Sum of Parts</w:t>
            </w:r>
          </w:p>
        </w:tc>
        <w:tc>
          <w:tcPr>
            <w:tcW w:type="dxa" w:w="17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Portfolio Fixed</w:t>
            </w:r>
          </w:p>
        </w:tc>
        <w:tc>
          <w:tcPr>
            <w:tcW w:type="dxa" w:w="17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Portfolio 2-Stage</w:t>
            </w:r>
          </w:p>
        </w:tc>
        <w:tc>
          <w:tcPr>
            <w:tcW w:type="dxa" w:w="176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Benefit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E[P&amp;L]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$84.30M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$88.34M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sz w:val="20"/>
                <w:szCs w:val="20"/>
              </w:rPr>
              <w:t xml:space="preserve">$94.75M</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b/>
                <w:bCs/>
                <w:color w:val="1B7A3D"/>
                <w:sz w:val="20"/>
                <w:szCs w:val="20"/>
              </w:rPr>
              <w:t xml:space="preserve">+$10.45M</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20"/>
                <w:szCs w:val="20"/>
              </w:rPr>
              <w:t xml:space="preserve">Std Dev</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$21.56M</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$16.82M</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$17.70M</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b/>
                <w:bCs/>
                <w:color w:val="1B7A3D"/>
                <w:sz w:val="20"/>
                <w:szCs w:val="20"/>
              </w:rPr>
              <w:t xml:space="preserve">−4.74M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P5 (VaR)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$45.64M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$63.50M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sz w:val="20"/>
                <w:szCs w:val="20"/>
              </w:rPr>
              <w:t xml:space="preserve">$68.20M</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b/>
                <w:bCs/>
                <w:color w:val="1B7A3D"/>
                <w:sz w:val="20"/>
                <w:szCs w:val="20"/>
              </w:rPr>
              <w:t xml:space="preserve">+$22.56M</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20"/>
                <w:szCs w:val="20"/>
              </w:rPr>
              <w:t xml:space="preserve">CVaR</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$44.70M</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$59.14M</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b/>
                <w:bCs/>
                <w:sz w:val="20"/>
                <w:szCs w:val="20"/>
              </w:rPr>
              <w:t xml:space="preserve">$63.80M</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b/>
                <w:bCs/>
                <w:color w:val="1B7A3D"/>
                <w:sz w:val="20"/>
                <w:szCs w:val="20"/>
              </w:rPr>
              <w:t xml:space="preserve">+$19.10M</w:t>
            </w:r>
          </w:p>
        </w:tc>
      </w:tr>
    </w:tbl>
    <w:p>
      <w:pPr>
        <w:spacing w:after="140" w:line="288"/>
      </w:pPr>
      <w:r>
        <w:rPr>
          <w:rFonts w:ascii="Arial" w:cs="Arial" w:eastAsia="Arial" w:hAnsi="Arial"/>
          <w:sz w:val="22"/>
          <w:szCs w:val="22"/>
        </w:rPr>
        <w:t xml:space="preserve"/>
      </w:r>
    </w:p>
    <w:p>
      <w:pPr>
        <w:spacing w:after="140" w:line="288"/>
      </w:pPr>
      <w:r>
        <w:rPr>
          <w:rFonts w:ascii="Arial" w:cs="Arial" w:eastAsia="Arial" w:hAnsi="Arial"/>
          <w:sz w:val="22"/>
          <w:szCs w:val="22"/>
        </w:rPr>
        <w:t xml:space="preserve">The diversification ratio (portfolio std / sum-of-parts std) is 0.78×, meaning the portfolio eliminates 22% of the volatility that independent management would produce. The +$19.10M CVaR benefit is the single most important number: it quantifies how much better the worst-case outcomes are when ships are managed as a portfolio with active re-routing.</w:t>
      </w:r>
    </w:p>
    <w:p>
      <w:pPr>
        <w:pStyle w:val="Heading2"/>
      </w:pPr>
      <w:r>
        <w:t xml:space="preserve">4.3 What drives the diversification</w:t>
      </w:r>
    </w:p>
    <w:p>
      <w:pPr>
        <w:spacing w:after="140" w:line="288"/>
      </w:pPr>
      <w:r>
        <w:rPr>
          <w:rFonts w:ascii="Arial" w:cs="Arial" w:eastAsia="Arial" w:hAnsi="Arial"/>
          <w:sz w:val="22"/>
          <w:szCs w:val="22"/>
        </w:rPr>
        <w:t xml:space="preserve">Three correlation pairs create most of the risk reduction:</w:t>
      </w:r>
    </w:p>
    <w:p>
      <w:pPr>
        <w:pStyle w:val="ListParagraph"/>
        <w:numPr>
          <w:ilvl w:val="0"/>
          <w:numId w:val="3"/>
        </w:numPr>
        <w:spacing w:after="80"/>
      </w:pPr>
      <w:r>
        <w:rPr>
          <w:rFonts w:ascii="Arial" w:cs="Arial" w:eastAsia="Arial" w:hAnsi="Arial"/>
          <w:sz w:val="22"/>
          <w:szCs w:val="22"/>
        </w:rPr>
        <w:t xml:space="preserve">HH ↔ Brent (ρ = 0.15 normal, 0.05 stress): Ships 1 and 6 (US-origin) versus Ships 2, 3, 4, 5 (Brent-origin). The single largest source of variance reduction.</w:t>
      </w:r>
    </w:p>
    <w:p>
      <w:pPr>
        <w:pStyle w:val="ListParagraph"/>
        <w:numPr>
          <w:ilvl w:val="0"/>
          <w:numId w:val="3"/>
        </w:numPr>
        <w:spacing w:after="80"/>
      </w:pPr>
      <w:r>
        <w:rPr>
          <w:rFonts w:ascii="Arial" w:cs="Arial" w:eastAsia="Arial" w:hAnsi="Arial"/>
          <w:sz w:val="22"/>
          <w:szCs w:val="22"/>
        </w:rPr>
        <w:t xml:space="preserve">HH ↔ TTF (ρ = 0.25 normal, 0.10 stress): US supply costs decouple from European sale prices. Protects Ships 1 and 6 from simultaneous cost/revenue squeeze.</w:t>
      </w:r>
    </w:p>
    <w:p>
      <w:pPr>
        <w:pStyle w:val="ListParagraph"/>
        <w:numPr>
          <w:ilvl w:val="0"/>
          <w:numId w:val="3"/>
        </w:numPr>
        <w:spacing w:after="80"/>
      </w:pPr>
      <w:r>
        <w:rPr>
          <w:rFonts w:ascii="Arial" w:cs="Arial" w:eastAsia="Arial" w:hAnsi="Arial"/>
          <w:sz w:val="22"/>
          <w:szCs w:val="22"/>
        </w:rPr>
        <w:t xml:space="preserve">TTF ↔ JKM (ρ = 0.75 normal, 0.40 stress): In normal times this limits swing ship escape options. But in stress, the correlation drops — making destination switching more valuable precisely when the portfolio needs it most.</w:t>
      </w:r>
    </w:p>
    <w:p>
      <w:pPr>
        <w:pStyle w:val="Heading2"/>
      </w:pPr>
      <w:r>
        <w:t xml:space="preserve">4.4 The regime-switching insight</w:t>
      </w:r>
    </w:p>
    <w:p>
      <w:pPr>
        <w:spacing w:after="140" w:line="288"/>
      </w:pPr>
      <w:r>
        <w:rPr>
          <w:rFonts w:ascii="Arial" w:cs="Arial" w:eastAsia="Arial" w:hAnsi="Arial"/>
          <w:sz w:val="22"/>
          <w:szCs w:val="22"/>
        </w:rPr>
        <w:t xml:space="preserve">The v6 model used a static correlation matrix and missed a critical dynamic: in supply crises, European and Asian gas markets decouple. The v7 regime-switching model captures this. The spread volatility (σ_JKM−TTF) rises from 23.5% in normal to 35.9% in stress — a +53% increase that directly inflates swing ship Margrabe option values by approximately +55%. This means the portfolio’s insurance mechanism (flexible ships) becomes more powerful exactly when risk is highest.</w:t>
      </w:r>
    </w:p>
    <w:p>
      <w:r>
        <w:br w:type="page"/>
      </w:r>
    </w:p>
    <w:p>
      <w:pPr>
        <w:pStyle w:val="Heading1"/>
      </w:pPr>
      <w:r>
        <w:t xml:space="preserve">5. The Acquisition Case: C2Force &amp; C2Pride</w:t>
      </w:r>
    </w:p>
    <w:p>
      <w:pPr>
        <w:pStyle w:val="Heading2"/>
      </w:pPr>
      <w:r>
        <w:t xml:space="preserve">5.1 Target identification</w:t>
      </w:r>
    </w:p>
    <w:p>
      <w:pPr>
        <w:spacing w:after="140" w:line="288"/>
      </w:pPr>
      <w:r>
        <w:rPr>
          <w:rFonts w:ascii="Arial" w:cs="Arial" w:eastAsia="Arial" w:hAnsi="Arial"/>
          <w:sz w:val="22"/>
          <w:szCs w:val="22"/>
        </w:rPr>
        <w:t xml:space="preserve">C2 LNG ASA (Oslo, ticker ALNG) owns two sister ships built at DSME in 2013: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060"/>
        <w:gridCol w:w="900"/>
        <w:gridCol w:w="900"/>
        <w:gridCol w:w="1000"/>
        <w:gridCol w:w="1300"/>
      </w:tblGrid>
      <w:tr>
        <w:tc>
          <w:tcPr>
            <w:tcW w:type="dxa" w:w="16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Vessel</w:t>
            </w:r>
          </w:p>
        </w:tc>
        <w:tc>
          <w:tcPr>
            <w:tcW w:type="dxa" w:w="13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Capacity</w:t>
            </w:r>
          </w:p>
        </w:tc>
        <w:tc>
          <w:tcPr>
            <w:tcW w:type="dxa" w:w="13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MMBtu</w:t>
            </w:r>
          </w:p>
        </w:tc>
        <w:tc>
          <w:tcPr>
            <w:tcW w:type="dxa" w:w="106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BOR</w:t>
            </w:r>
          </w:p>
        </w:tc>
        <w:tc>
          <w:tcPr>
            <w:tcW w:type="dxa" w:w="9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LOA</w:t>
            </w:r>
          </w:p>
        </w:tc>
        <w:tc>
          <w:tcPr>
            <w:tcW w:type="dxa" w:w="9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Beam</w:t>
            </w:r>
          </w:p>
        </w:tc>
        <w:tc>
          <w:tcPr>
            <w:tcW w:type="dxa" w:w="10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Built</w:t>
            </w:r>
          </w:p>
        </w:tc>
        <w:tc>
          <w:tcPr>
            <w:tcW w:type="dxa" w:w="13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Propulsion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C2Force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156,000 m³</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3,307,200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0.10%/d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290m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44m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2013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TFDE</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20"/>
                <w:szCs w:val="20"/>
              </w:rPr>
              <w:t xml:space="preserve">C2Pride</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156,000 m³</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3,307,200</w:t>
            </w:r>
          </w:p>
        </w:tc>
        <w:tc>
          <w:tcPr>
            <w:tcW w:type="dxa" w:w="1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0.10%/d</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290m</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44m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2013</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20"/>
                <w:szCs w:val="20"/>
              </w:rPr>
              <w:t xml:space="preserve">TFDE</w:t>
            </w:r>
          </w:p>
        </w:tc>
      </w:tr>
    </w:tbl>
    <w:p>
      <w:pPr>
        <w:spacing w:after="140" w:line="288"/>
      </w:pPr>
      <w:r>
        <w:rPr>
          <w:rFonts w:ascii="Arial" w:cs="Arial" w:eastAsia="Arial" w:hAnsi="Arial"/>
          <w:sz w:val="22"/>
          <w:szCs w:val="22"/>
        </w:rPr>
        <w:t xml:space="preserve"/>
      </w:r>
    </w:p>
    <w:p>
      <w:pPr>
        <w:spacing w:after="140" w:line="288"/>
      </w:pPr>
      <w:r>
        <w:rPr>
          <w:rFonts w:ascii="Arial" w:cs="Arial" w:eastAsia="Arial" w:hAnsi="Arial"/>
          <w:sz w:val="22"/>
          <w:szCs w:val="22"/>
        </w:rPr>
        <w:t xml:space="preserve">Both vessels trade on the spot/short-term time charter market. IMO numbers: C2Force 9627954, C2Pride 9627966. Flag: Malta. Managed in-house by C2 LNG Technical Management AS. Both are membrane-type with tri-fuel diesel electric propulsion — modern, efficient, and compatible with all major LNG terminals globally.</w:t>
      </w:r>
    </w:p>
    <w:p>
      <w:pPr>
        <w:pStyle w:val="Heading2"/>
      </w:pPr>
      <w:r>
        <w:t xml:space="preserve">5.2 Why these ships</w:t>
      </w:r>
    </w:p>
    <w:p>
      <w:pPr>
        <w:spacing w:after="140" w:line="288"/>
      </w:pPr>
      <w:r>
        <w:rPr>
          <w:rFonts w:ascii="Arial" w:cs="Arial" w:eastAsia="Arial" w:hAnsi="Arial"/>
          <w:sz w:val="22"/>
          <w:szCs w:val="22"/>
        </w:rPr>
        <w:t xml:space="preserve">The acquisition thesis rests on four pillars:</w:t>
      </w:r>
    </w:p>
    <w:p>
      <w:pPr>
        <w:spacing w:after="140" w:line="288"/>
      </w:pPr>
      <w:r>
        <w:rPr>
          <w:rFonts w:ascii="Arial" w:cs="Arial" w:eastAsia="Arial" w:hAnsi="Arial"/>
          <w:b/>
          <w:bCs/>
          <w:sz w:val="22"/>
          <w:szCs w:val="22"/>
        </w:rPr>
        <w:t xml:space="preserve">1. New supply origin: </w:t>
      </w:r>
      <w:r>
        <w:rPr>
          <w:rFonts w:ascii="Arial" w:cs="Arial" w:eastAsia="Arial" w:hAnsi="Arial"/>
          <w:sz w:val="22"/>
          <w:szCs w:val="22"/>
        </w:rPr>
        <w:t xml:space="preserve">The existing C1 fleet has zero Middle East/Qatar exposure. C2Force and C2Pride would operate from Qatar (FOB = 0.105 × Brent), introducing a fourth supply basis with a different Brent slope than Nigeria (0.08) or Australia (0.12). This diversifies the FOB pricing risk.</w:t>
      </w:r>
    </w:p>
    <w:p>
      <w:pPr>
        <w:spacing w:after="140" w:line="288"/>
      </w:pPr>
      <w:r>
        <w:rPr>
          <w:rFonts w:ascii="Arial" w:cs="Arial" w:eastAsia="Arial" w:hAnsi="Arial"/>
          <w:b/>
          <w:bCs/>
          <w:sz w:val="22"/>
          <w:szCs w:val="22"/>
        </w:rPr>
        <w:t xml:space="preserve">2. More swing capacity: </w:t>
      </w:r>
      <w:r>
        <w:rPr>
          <w:rFonts w:ascii="Arial" w:cs="Arial" w:eastAsia="Arial" w:hAnsi="Arial"/>
          <w:sz w:val="22"/>
          <w:szCs w:val="22"/>
        </w:rPr>
        <w:t xml:space="preserve">Both ships enter as FOB swing vessels, expanding the flexible fleet from 3 to 5 ships (63% of the portfolio vs 50% today). Every additional swing ship increases the two-stage re-routing payoff because there are more vessels available to redirect when spreads move.</w:t>
      </w:r>
    </w:p>
    <w:p>
      <w:pPr>
        <w:spacing w:after="140" w:line="288"/>
      </w:pPr>
      <w:r>
        <w:rPr>
          <w:rFonts w:ascii="Arial" w:cs="Arial" w:eastAsia="Arial" w:hAnsi="Arial"/>
          <w:b/>
          <w:bCs/>
          <w:sz w:val="22"/>
          <w:szCs w:val="22"/>
        </w:rPr>
        <w:t xml:space="preserve">3. Fast-cycle route: </w:t>
      </w:r>
      <w:r>
        <w:rPr>
          <w:rFonts w:ascii="Arial" w:cs="Arial" w:eastAsia="Arial" w:hAnsi="Arial"/>
          <w:sz w:val="22"/>
          <w:szCs w:val="22"/>
        </w:rPr>
        <w:t xml:space="preserve">The Middle East → Asia route has a round-trip of only 19 days (tied with Australia → Asia as the shortest in the fleet). High-frequency routes generate more $/day even at moderate per-cargo margins, and allow faster rebalancing in response to market moves.</w:t>
      </w:r>
    </w:p>
    <w:p>
      <w:pPr>
        <w:spacing w:after="140" w:line="288"/>
      </w:pPr>
      <w:r>
        <w:rPr>
          <w:rFonts w:ascii="Arial" w:cs="Arial" w:eastAsia="Arial" w:hAnsi="Arial"/>
          <w:b/>
          <w:bCs/>
          <w:sz w:val="22"/>
          <w:szCs w:val="22"/>
        </w:rPr>
        <w:t xml:space="preserve">4. Structural decorrelation: </w:t>
      </w:r>
      <w:r>
        <w:rPr>
          <w:rFonts w:ascii="Arial" w:cs="Arial" w:eastAsia="Arial" w:hAnsi="Arial"/>
          <w:sz w:val="22"/>
          <w:szCs w:val="22"/>
        </w:rPr>
        <w:t xml:space="preserve">Qatar FOB is Brent-linked but at a different slope (0.105 vs 0.08/0.12). The ME → Asia route avoids Suez entirely, meaning canal disruption risk is asymmetric — bad for C1’s Atlantic-to-Asia routes, but neutral or positive for ME → Asia (cargo diverted from disrupted Atlantic routes may support JKM, benefiting the C2 ships’ destination price).</w:t>
      </w:r>
    </w:p>
    <w:p>
      <w:pPr>
        <w:pStyle w:val="Heading2"/>
      </w:pPr>
      <w:r>
        <w:t xml:space="preserve">5.3 Quantified portfolio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360"/>
        <w:gridCol w:w="1500"/>
      </w:tblGrid>
      <w:tr>
        <w:tc>
          <w:tcPr>
            <w:tcW w:type="dxa" w:w="20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15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C1 6-ship</w:t>
            </w:r>
          </w:p>
        </w:tc>
        <w:tc>
          <w:tcPr>
            <w:tcW w:type="dxa" w:w="15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C2 standalone</w:t>
            </w:r>
          </w:p>
        </w:tc>
        <w:tc>
          <w:tcPr>
            <w:tcW w:type="dxa" w:w="15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Simple sum</w:t>
            </w:r>
          </w:p>
        </w:tc>
        <w:tc>
          <w:tcPr>
            <w:tcW w:type="dxa" w:w="136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Portfolio 8</w:t>
            </w:r>
          </w:p>
        </w:tc>
        <w:tc>
          <w:tcPr>
            <w:tcW w:type="dxa" w:w="1500"/>
            <w:tcBorders>
              <w:top w:val="single" w:color="1A5276" w:sz="1"/>
              <w:left w:val="single" w:color="1A5276" w:sz="1"/>
              <w:bottom w:val="single" w:color="1A5276" w:sz="1"/>
              <w:right w:val="single" w:color="1A5276"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Divers. benefit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E[P&amp;L]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$88.34M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$22.40M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$110.74M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sz w:val="20"/>
                <w:szCs w:val="20"/>
              </w:rPr>
              <w:t xml:space="preserve">$111.52M</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sz w:val="20"/>
                <w:szCs w:val="20"/>
              </w:rPr>
              <w:t xml:space="preserve">+$0.78M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20"/>
                <w:szCs w:val="20"/>
              </w:rPr>
              <w:t xml:space="preserve">Two-stage E[P&amp;L]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$94.75M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$25.10M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$119.85M</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b/>
                <w:bCs/>
                <w:sz w:val="20"/>
                <w:szCs w:val="20"/>
              </w:rPr>
              <w:t xml:space="preserve">$122.30M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+$2.45M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Std Dev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$16.82M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$5.60M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$22.42M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sz w:val="20"/>
                <w:szCs w:val="20"/>
              </w:rPr>
              <w:t xml:space="preserve">$19.35M</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sz w:val="20"/>
                <w:szCs w:val="20"/>
              </w:rPr>
              <w:t xml:space="preserve">−3.07M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20"/>
                <w:szCs w:val="20"/>
              </w:rPr>
              <w:t xml:space="preserve">CVaR</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$59.14M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$12.80M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$71.94M</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b/>
                <w:bCs/>
                <w:sz w:val="20"/>
                <w:szCs w:val="20"/>
              </w:rPr>
              <w:t xml:space="preserve">$77.60M</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right"/>
            </w:pPr>
            <w:r>
              <w:rPr>
                <w:rFonts w:ascii="Arial" w:cs="Arial" w:eastAsia="Arial" w:hAnsi="Arial"/>
                <w:sz w:val="20"/>
                <w:szCs w:val="20"/>
              </w:rPr>
              <w:t xml:space="preserve">+$5.66M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Option value (swings)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$2.80M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$1.80M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$4.60M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sz w:val="20"/>
                <w:szCs w:val="20"/>
              </w:rPr>
              <w:t xml:space="preserve">$5.15M</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right"/>
            </w:pPr>
            <w:r>
              <w:rPr>
                <w:rFonts w:ascii="Arial" w:cs="Arial" w:eastAsia="Arial" w:hAnsi="Arial"/>
                <w:sz w:val="20"/>
                <w:szCs w:val="20"/>
              </w:rPr>
              <w:t xml:space="preserve">+$0.55M</w:t>
            </w:r>
          </w:p>
        </w:tc>
      </w:tr>
    </w:tbl>
    <w:p>
      <w:pPr>
        <w:pStyle w:val="Heading2"/>
      </w:pPr>
      <w:r>
        <w:t xml:space="preserve">5.4 Reading the numbers</w:t>
      </w:r>
    </w:p>
    <w:p>
      <w:pPr>
        <w:spacing w:after="140" w:line="288"/>
      </w:pPr>
      <w:r>
        <w:rPr>
          <w:rFonts w:ascii="Arial" w:cs="Arial" w:eastAsia="Arial" w:hAnsi="Arial"/>
          <w:b/>
          <w:bCs/>
          <w:sz w:val="22"/>
          <w:szCs w:val="22"/>
        </w:rPr>
        <w:t xml:space="preserve">CVaR improves by $5.66M: </w:t>
      </w:r>
      <w:r>
        <w:rPr>
          <w:rFonts w:ascii="Arial" w:cs="Arial" w:eastAsia="Arial" w:hAnsi="Arial"/>
          <w:sz w:val="22"/>
          <w:szCs w:val="22"/>
        </w:rPr>
        <w:t xml:space="preserve">This is the headline number. It means the average outcome in the worst 5% of scenarios is $5.66M better with 8 ships than the simple sum of two independent portfolios. The improvement comes from ME-origin margins being imperfectly correlated with US/NGA/AUS-origin margins — when one basin suffers, the other provides partial offset.</w:t>
      </w:r>
    </w:p>
    <w:p>
      <w:pPr>
        <w:spacing w:after="140" w:line="288"/>
      </w:pPr>
      <w:r>
        <w:rPr>
          <w:rFonts w:ascii="Arial" w:cs="Arial" w:eastAsia="Arial" w:hAnsi="Arial"/>
          <w:b/>
          <w:bCs/>
          <w:sz w:val="22"/>
          <w:szCs w:val="22"/>
        </w:rPr>
        <w:t xml:space="preserve">Two-stage uplift increases by $2.45M: </w:t>
      </w:r>
      <w:r>
        <w:rPr>
          <w:rFonts w:ascii="Arial" w:cs="Arial" w:eastAsia="Arial" w:hAnsi="Arial"/>
          <w:sz w:val="22"/>
          <w:szCs w:val="22"/>
        </w:rPr>
        <w:t xml:space="preserve">With 5 swing ships instead of 3, the two-stage optimiser can redirect more cargo in each scenario. The ME → Asia route provides a fast-cycle escape valve (19-day round-trip) that is particularly valuable in stress because it avoids Suez and offers direct access to JKM.</w:t>
      </w:r>
    </w:p>
    <w:p>
      <w:pPr>
        <w:spacing w:after="140" w:line="288"/>
      </w:pPr>
      <w:r>
        <w:rPr>
          <w:rFonts w:ascii="Arial" w:cs="Arial" w:eastAsia="Arial" w:hAnsi="Arial"/>
          <w:b/>
          <w:bCs/>
          <w:sz w:val="22"/>
          <w:szCs w:val="22"/>
        </w:rPr>
        <w:t xml:space="preserve">Std dev drops by $3.07M: </w:t>
      </w:r>
      <w:r>
        <w:rPr>
          <w:rFonts w:ascii="Arial" w:cs="Arial" w:eastAsia="Arial" w:hAnsi="Arial"/>
          <w:sz w:val="22"/>
          <w:szCs w:val="22"/>
        </w:rPr>
        <w:t xml:space="preserve">The 8-ship portfolio has lower absolute volatility than the sum of its parts because the new ME-origin ships’ P&amp;L variations partially cancel against the existing fleet’s variations. The diversification ratio improves to approximately 0.86×.</w:t>
      </w:r>
    </w:p>
    <w:p>
      <w:pPr>
        <w:spacing w:after="140" w:line="288"/>
      </w:pPr>
      <w:r>
        <w:rPr>
          <w:rFonts w:ascii="Arial" w:cs="Arial" w:eastAsia="Arial" w:hAnsi="Arial"/>
          <w:b/>
          <w:bCs/>
          <w:sz w:val="22"/>
          <w:szCs w:val="22"/>
        </w:rPr>
        <w:t xml:space="preserve">Option value rises by $0.55M: </w:t>
      </w:r>
      <w:r>
        <w:rPr>
          <w:rFonts w:ascii="Arial" w:cs="Arial" w:eastAsia="Arial" w:hAnsi="Arial"/>
          <w:sz w:val="22"/>
          <w:szCs w:val="22"/>
        </w:rPr>
        <w:t xml:space="preserve">The total Margrabe option value across all 5 swing ships ($5.15M) exceeds the sum of the two separate portfolios’ option values ($4.60M). This cross-portfolio synergy arises because the 8-ship portfolio has more re-routing combinations available at stage 2.</w:t>
      </w:r>
    </w:p>
    <w:p>
      <w:pPr>
        <w:pStyle w:val="Heading2"/>
      </w:pPr>
      <w:r>
        <w:t xml:space="preserve">5.5 Risks and trade-offs</w:t>
      </w:r>
    </w:p>
    <w:p>
      <w:pPr>
        <w:pStyle w:val="ListParagraph"/>
        <w:numPr>
          <w:ilvl w:val="0"/>
          <w:numId w:val="3"/>
        </w:numPr>
        <w:spacing w:after="80"/>
      </w:pPr>
      <w:r>
        <w:rPr>
          <w:rFonts w:ascii="Arial" w:cs="Arial" w:eastAsia="Arial" w:hAnsi="Arial"/>
          <w:sz w:val="22"/>
          <w:szCs w:val="22"/>
        </w:rPr>
        <w:t xml:space="preserve">Suez exposure increases: both C2Force and C2Pride depend on Suez for their ME → Europe route. Canal disruption now affects more ship-route combinations. Partial offset: ME → Asia avoids Suez entirely.</w:t>
      </w:r>
    </w:p>
    <w:p>
      <w:pPr>
        <w:pStyle w:val="ListParagraph"/>
        <w:numPr>
          <w:ilvl w:val="0"/>
          <w:numId w:val="3"/>
        </w:numPr>
        <w:spacing w:after="80"/>
      </w:pPr>
      <w:r>
        <w:rPr>
          <w:rFonts w:ascii="Arial" w:cs="Arial" w:eastAsia="Arial" w:hAnsi="Arial"/>
          <w:sz w:val="22"/>
          <w:szCs w:val="22"/>
        </w:rPr>
        <w:t xml:space="preserve">Brent concentration: 7 of 8 ships would have oil-indexed FOB costs. If Brent spikes sharply, portfolio margin compresses across most of the fleet. Only Ship 1 (GasLog Italy, HH-linked) provides insulation.</w:t>
      </w:r>
    </w:p>
    <w:p>
      <w:pPr>
        <w:pStyle w:val="ListParagraph"/>
        <w:numPr>
          <w:ilvl w:val="0"/>
          <w:numId w:val="3"/>
        </w:numPr>
        <w:spacing w:after="80"/>
      </w:pPr>
      <w:r>
        <w:rPr>
          <w:rFonts w:ascii="Arial" w:cs="Arial" w:eastAsia="Arial" w:hAnsi="Arial"/>
          <w:sz w:val="22"/>
          <w:szCs w:val="22"/>
        </w:rPr>
        <w:t xml:space="preserve">Vessel age: both ships are 2013-built (13 years old). Remaining economic life is approximately 12–17 years depending on dry-dock schedule and environmental regulation compliance. TFDE propulsion is less efficient than modern two-stroke designs.</w:t>
      </w:r>
    </w:p>
    <w:p>
      <w:pPr>
        <w:pStyle w:val="ListParagraph"/>
        <w:numPr>
          <w:ilvl w:val="0"/>
          <w:numId w:val="3"/>
        </w:numPr>
        <w:spacing w:after="80"/>
      </w:pPr>
      <w:r>
        <w:rPr>
          <w:rFonts w:ascii="Arial" w:cs="Arial" w:eastAsia="Arial" w:hAnsi="Arial"/>
          <w:sz w:val="22"/>
          <w:szCs w:val="22"/>
        </w:rPr>
        <w:t xml:space="preserve">C2’s financial position: as a small, listed company (ALNG on Euronext Expand), C2’s charter commitments and debt structure should be evaluated in the acquisition due diligence.</w:t>
      </w:r>
    </w:p>
    <w:p>
      <w:r>
        <w:br w:type="page"/>
      </w:r>
    </w:p>
    <w:p>
      <w:pPr>
        <w:pStyle w:val="Heading1"/>
      </w:pPr>
      <w:r>
        <w:t xml:space="preserve">6. Conclusion &amp; Recommendation</w:t>
      </w:r>
    </w:p>
    <w:p>
      <w:pPr>
        <w:spacing w:after="140" w:line="288"/>
      </w:pPr>
      <w:r>
        <w:rPr>
          <w:rFonts w:ascii="Arial" w:cs="Arial" w:eastAsia="Arial" w:hAnsi="Arial"/>
          <w:sz w:val="22"/>
          <w:szCs w:val="22"/>
        </w:rPr>
        <w:t xml:space="preserve">The project demonstrates three compounding layers of value:</w:t>
      </w:r>
    </w:p>
    <w:p>
      <w:pPr>
        <w:spacing w:after="140" w:line="288"/>
      </w:pPr>
      <w:r>
        <w:rPr>
          <w:rFonts w:ascii="Arial" w:cs="Arial" w:eastAsia="Arial" w:hAnsi="Arial"/>
          <w:b/>
          <w:bCs/>
          <w:sz w:val="22"/>
          <w:szCs w:val="22"/>
        </w:rPr>
        <w:t xml:space="preserve">Layer 1 — Portfolio management: </w:t>
      </w:r>
      <w:r>
        <w:rPr>
          <w:rFonts w:ascii="Arial" w:cs="Arial" w:eastAsia="Arial" w:hAnsi="Arial"/>
          <w:sz w:val="22"/>
          <w:szCs w:val="22"/>
        </w:rPr>
        <w:t xml:space="preserve">Managing 6 ships as a portfolio (rather than individually) adds +$10.45M E[P&amp;L] and +$19.10M CVaR versus naïve sum-of-parts. This is free — it requires only coordination, not capital.</w:t>
      </w:r>
    </w:p>
    <w:p>
      <w:pPr>
        <w:spacing w:after="140" w:line="288"/>
      </w:pPr>
      <w:r>
        <w:rPr>
          <w:rFonts w:ascii="Arial" w:cs="Arial" w:eastAsia="Arial" w:hAnsi="Arial"/>
          <w:b/>
          <w:bCs/>
          <w:sz w:val="22"/>
          <w:szCs w:val="22"/>
        </w:rPr>
        <w:t xml:space="preserve">Layer 2 — Model improvements (v7): </w:t>
      </w:r>
      <w:r>
        <w:rPr>
          <w:rFonts w:ascii="Arial" w:cs="Arial" w:eastAsia="Arial" w:hAnsi="Arial"/>
          <w:sz w:val="22"/>
          <w:szCs w:val="22"/>
        </w:rPr>
        <w:t xml:space="preserve">Eight logic fixes make the risk picture more honest. CVaR worsens versus v6 (capturing canal and regime tail risks v6 ignored), but two-stage uplift increases from +$5.21M to +$6.41M because real-options pricing properly values regime-dependent optionality.</w:t>
      </w:r>
    </w:p>
    <w:p>
      <w:pPr>
        <w:spacing w:after="140" w:line="288"/>
      </w:pPr>
      <w:r>
        <w:rPr>
          <w:rFonts w:ascii="Arial" w:cs="Arial" w:eastAsia="Arial" w:hAnsi="Arial"/>
          <w:b/>
          <w:bCs/>
          <w:sz w:val="22"/>
          <w:szCs w:val="22"/>
        </w:rPr>
        <w:t xml:space="preserve">Layer 3 — Acquisition: </w:t>
      </w:r>
      <w:r>
        <w:rPr>
          <w:rFonts w:ascii="Arial" w:cs="Arial" w:eastAsia="Arial" w:hAnsi="Arial"/>
          <w:sz w:val="22"/>
          <w:szCs w:val="22"/>
        </w:rPr>
        <w:t xml:space="preserve">Adding C2Force and C2Pride contributes +$5.66M CVaR improvement, +$2.45M two-stage uplift, and −$3.07M std dev reduction. The combined 8-ship portfolio generates $122.30M E[P&amp;L] at two-stage with $63.80M CVaR — a strong risk-return profile built on structural diversification (four supply origins, two destination basins, 63% swing fleet).</w:t>
      </w:r>
    </w:p>
    <w:p>
      <w:pPr>
        <w:spacing w:after="140" w:line="288"/>
      </w:pPr>
      <w:r>
        <w:rPr>
          <w:rFonts w:ascii="Arial" w:cs="Arial" w:eastAsia="Arial" w:hAnsi="Arial"/>
          <w:sz w:val="22"/>
          <w:szCs w:val="22"/>
        </w:rPr>
        <w:t xml:space="preserve"/>
      </w:r>
    </w:p>
    <w:p>
      <w:pPr>
        <w:spacing w:after="140" w:line="288"/>
      </w:pPr>
      <w:r>
        <w:rPr>
          <w:rFonts w:ascii="Arial" w:cs="Arial" w:eastAsia="Arial" w:hAnsi="Arial"/>
          <w:b/>
          <w:bCs/>
          <w:sz w:val="22"/>
          <w:szCs w:val="22"/>
        </w:rPr>
        <w:t xml:space="preserve">Recommendation: </w:t>
      </w:r>
      <w:r>
        <w:rPr>
          <w:rFonts w:ascii="Arial" w:cs="Arial" w:eastAsia="Arial" w:hAnsi="Arial"/>
          <w:sz w:val="22"/>
          <w:szCs w:val="22"/>
        </w:rPr>
        <w:t xml:space="preserve">Proceed with the acquisition analysis of C2Force and C2Pride. The portfolio diversification benefit alone ($5.66M CVaR improvement) provides a quantitative floor for the charter premium C1 should be willing to pay above standalone vessel economics. Next steps: (1) C2 counterparty due diligence, (2) charter rate negotiation using the $5.66M as the bid ceiling for the diversification premium, (3) integration of both ships into the v7 optimiser with live market data feeds.</w:t>
      </w:r>
    </w:p>
    <w:p>
      <w:pPr>
        <w:pBdr>
          <w:bottom w:val="single" w:color="1A5276" w:sz="6" w:space="1"/>
        </w:pBdr>
        <w:spacing w:before="240" w:after="240"/>
      </w:pPr>
    </w:p>
    <w:p>
      <w:pPr>
        <w:spacing w:after="140" w:line="288"/>
        <w:rPr>
          <w:i/>
          <w:iCs/>
          <w:color w:val="777777"/>
        </w:rPr>
      </w:pPr>
      <w:r>
        <w:rPr>
          <w:rFonts w:ascii="Arial" w:cs="Arial" w:eastAsia="Arial" w:hAnsi="Arial"/>
          <w:i/>
          <w:iCs/>
          <w:color w:val="777777"/>
          <w:sz w:val="22"/>
          <w:szCs w:val="22"/>
        </w:rPr>
        <w:t xml:space="preserve">End of document. All numbers are from the v7 model with regime-switching Monte Carlo (5,000 scenarios, 2-state Markov). For formula derivations and cross-check protocols, refer to the companion cross-check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C1 LNG Fleet Optimizer v7 — Project Overview &amp; Acquisition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14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2026-03-22T17:03:09.803Z</dcterms:created>
  <dcterms:modified xsi:type="dcterms:W3CDTF">2026-03-22T17:03:09.804Z</dcterms:modified>
</cp:coreProperties>
</file>

<file path=docProps/custom.xml><?xml version="1.0" encoding="utf-8"?>
<Properties xmlns="http://schemas.openxmlformats.org/officeDocument/2006/custom-properties" xmlns:vt="http://schemas.openxmlformats.org/officeDocument/2006/docPropsVTypes"/>
</file>