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8"/>
          <w:szCs w:val="48"/>
        </w:rPr>
        <w:t xml:space="preserve">NetLogic: An Empirical Evaluation of a Zero-Dependency Multi-Engine Network Vulnerability Scanner with Three-Tier Confidence Classification</w:t>
      </w:r>
    </w:p>
    <w:p>
      <w:pPr>
        <w:spacing w:after="60"/>
      </w:pPr>
      <w:r>
        <w:t xml:space="preserve"/>
      </w:r>
    </w:p>
    <w:p>
      <w:pPr>
        <w:spacing w:after="40"/>
        <w:jc w:val="center"/>
      </w:pPr>
      <w:r>
        <w:rPr>
          <w:rFonts w:ascii="Times New Roman" w:cs="Times New Roman" w:eastAsia="Times New Roman" w:hAnsi="Times New Roman"/>
          <w:b w:val="false"/>
          <w:bCs w:val="false"/>
          <w:sz w:val="36"/>
          <w:szCs w:val="36"/>
        </w:rPr>
        <w:t xml:space="preserve">Dmitry Flynn</w:t>
      </w:r>
    </w:p>
    <w:p>
      <w:pPr>
        <w:spacing w:after="40"/>
        <w:jc w:val="center"/>
      </w:pPr>
      <w:r>
        <w:rPr>
          <w:rFonts w:ascii="Times New Roman" w:cs="Times New Roman" w:eastAsia="Times New Roman" w:hAnsi="Times New Roman"/>
          <w:sz w:val="20"/>
          <w:szCs w:val="20"/>
        </w:rPr>
        <w:t xml:space="preserve">Department of Computer Science and Cybersecurity</w:t>
      </w:r>
    </w:p>
    <w:p>
      <w:pPr>
        <w:spacing w:after="120"/>
        <w:jc w:val="center"/>
      </w:pPr>
      <w:r>
        <w:rPr>
          <w:rFonts w:ascii="Times New Roman" w:cs="Times New Roman" w:eastAsia="Times New Roman" w:hAnsi="Times New Roman"/>
          <w:sz w:val="20"/>
          <w:szCs w:val="20"/>
        </w:rPr>
        <w:t xml:space="preserve">Email: dmitryflynn665@gmail.com</w:t>
      </w:r>
    </w:p>
    <w:p>
      <w:pPr>
        <w:spacing w:after="40"/>
      </w:pPr>
      <w:r>
        <w:t xml:space="preserve"/>
      </w:r>
    </w:p>
    <w:p>
      <w:pPr>
        <w:pBdr>
          <w:bottom w:val="single" w:color="000000" w:sz="6"/>
        </w:pBdr>
        <w:spacing w:after="80"/>
      </w:pPr>
      <w:r>
        <w:t xml:space="preserve"/>
      </w:r>
    </w:p>
    <w:p>
      <w:pPr>
        <w:spacing w:after="30"/>
      </w:pPr>
      <w:r>
        <w:t xml:space="preserve"/>
      </w:r>
    </w:p>
    <w:p>
      <w:pPr>
        <w:spacing w:after="8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val="false"/>
          <w:bCs w:val="false"/>
          <w:i w:val="false"/>
          <w:iCs w:val="false"/>
          <w:sz w:val="20"/>
          <w:szCs w:val="20"/>
        </w:rPr>
        <w:t xml:space="preserve">—Network vulnerability assessment in heterogeneous enterprise environments remains a critical and persistent challenge for security operations teams. Existing commercial scanners are computationally expensive, require continuous credential management, and introduce substantial false-positive burdens that erode analyst trust over time. Open-source alternatives frequently sacrifice detection coverage for speed, leaving organizations exposed to high-severity vulnerabilities. This paper presents a comprehensive empirical evaluation of NetLogic, a zero-dependency Python-based network security scanner that employs a novel three-tier detection confidence model (HIGH, MEDIUM, LOW) across nine complementary scan engines. We define and evaluate four research questions: (RQ1) Does NetLogic achieve competitive CVE coverage relative to a Nessus-comparable baseline? (RQ2) Does the three-tier confidence model effectively bound false-positive rates per tier? (RQ3) Do cross-domain correlation signatures reliably indicate multi-vector attack surfaces? (RQ4) How closely does offline analysis parity match live-scan recall? Experiments are conducted against a 15-service synthetic testbed replicating realistic enterprise network diversity, with a ground truth corpus of 31 CVEs and 5 misconfigurations verified against NVD, CISA KEV, Metasploit availability, and public proof-of-concept repositories. Results demonstrate that NetLogic achieves an F1-score of 0.914 (95% CI: [0.887, 0.940]) versus a baseline F1 of 0.773 (95% CI: [0.733, 0.813]), representing an 18.3-percentage-point improvement (p=0.0625, Wilcoxon signed-rank). NetLogic completes full assessment in 47.4 seconds on average—a 31.7× speedup over the baseline (p=0.008, Mann-Whitney U). The HIGH-confidence tier maintains a false-positive rate of 2.7%, MEDIUM of 10.1%, and LOW of 35.0%, with cross-domain correlation correctly identifying all five multi-vector exposure patterns. These results validate NetLogic as an effective, lightweight alternative for continuous security assessment in resource-constrained environments.</w:t>
      </w:r>
    </w:p>
    <w:p>
      <w:pPr>
        <w:pBdr>
          <w:bottom w:val="single" w:color="000000" w:sz="6"/>
        </w:pBdr>
        <w:spacing w:after="80"/>
      </w:pPr>
      <w:r>
        <w:t xml:space="preserve"/>
      </w:r>
    </w:p>
    <w:p>
      <w:pPr>
        <w:spacing w:after="30"/>
      </w:pPr>
      <w:r>
        <w:t xml:space="preserve"/>
      </w:r>
    </w:p>
    <w:p>
      <w:pPr>
        <w:spacing w:after="60"/>
        <w:jc w:val="left"/>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—network vulnerability scanner; CVE detection; confidence calibration; false positive reduction; multi-engine correlation; offline analysis; zero-dependency security tools; IEEE conference.</w:t>
      </w:r>
    </w:p>
    <w:p>
      <w:pPr>
        <w:sectPr>
          <w:pgSz w:w="12240" w:h="15840" w:orient="portrait"/>
          <w:pgMar w:top="1080" w:right="1080" w:bottom="1080" w:left="1080" w:header="708" w:footer="708" w:gutter="0"/>
          <w:pgNumType/>
          <w:docGrid w:linePitch="360"/>
        </w:sectPr>
      </w:pPr>
    </w:p>
    <w:p>
      <w:pPr>
        <w:spacing w:after="80" w:before="180"/>
        <w:jc w:val="center"/>
      </w:pPr>
      <w:r>
        <w:rPr>
          <w:rFonts w:ascii="Times New Roman" w:cs="Times New Roman" w:eastAsia="Times New Roman" w:hAnsi="Times New Roman"/>
          <w:b/>
          <w:bCs/>
          <w:sz w:val="20"/>
          <w:szCs w:val="20"/>
        </w:rPr>
        <w:t xml:space="preserve">I. INTRODUCTION</w:t>
      </w:r>
    </w:p>
    <w:p>
      <w:pPr>
        <w:spacing w:after="60" w:line="240"/>
        <w:jc w:val="both"/>
      </w:pPr>
      <w:r>
        <w:rPr>
          <w:rFonts w:ascii="Times New Roman" w:cs="Times New Roman" w:eastAsia="Times New Roman" w:hAnsi="Times New Roman"/>
          <w:b w:val="false"/>
          <w:bCs w:val="false"/>
          <w:i w:val="false"/>
          <w:iCs w:val="false"/>
          <w:sz w:val="20"/>
          <w:szCs w:val="20"/>
        </w:rPr>
        <w:t xml:space="preserve">The proliferation of networked services in enterprise environments has dramatically expanded the attack surface available to adversaries. According to the National Vulnerability Database (NVD), the number of publicly disclosed CVEs has grown at a compound annual rate exceeding 20% since 2017, with 2023 alone recording more than 29,000 new vulnerability entries [1]. Security operations centers (SOCs) must continuously assess thousands of active services across dynamic network topologies, often with limited staffing and under strict operational windows that preclude prolonged scanning sessions.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Contemporary vulnerability scanning tools occupy two extremes of a capability-resource tradeoff spectrum. Commercial offerings such as Tenable Nessus, Rapid7 InsightVM, and Qualys VMDR deliver high detection coverage backed by continuously updated plugin databases, but require per-host licensing, substantial memory footprints, and persistent credentialing infrastructure that may not be feasible in all deployment contexts [2]. At the opposite end, lightweight scanners such as masscan and unicorn offer speed advantages but produce raw port-open data without any vulnerability correlation, leaving the detection burden entirely to downstream analysis pipelines.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Between these extremes lies an underserved design space: tools that (a) operate without pip or system-level dependencies, enabling rapid deployment on isolated or air-gapped networks; (b) apply multi-engine correlation to reduce false positives systematically; (c) model uncertainty explicitly through confidence tiers rather than binary present/absent determinations; and (d) support offline analysis to extend coverage into segments where active probing is restricted. NetLogic [3] was designed to occupy precisely this space, implementing nine scan engines in a single Python 3.9+ file with zero external dependencies.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Despite growing interest in lightweight security tooling, no prior empirical evaluation of NetLogic has been published. The tool's design embodies several claims—superior speed, competitive detection, and effective confidence calibration—that require rigorous experimental validation before practitioners can make informed adoption decisions. This paper provides that evaluation through seven structured experiments (E1–E7) covering all four primary research questions.</w:t>
      </w:r>
    </w:p>
    <w:p>
      <w:pPr>
        <w:spacing w:after="40"/>
      </w:pPr>
      <w:r>
        <w:t xml:space="preserve"/>
      </w:r>
    </w:p>
    <w:p>
      <w:pPr>
        <w:spacing w:after="60" w:before="120"/>
      </w:pPr>
      <w:r>
        <w:rPr>
          <w:rFonts w:ascii="Times New Roman" w:cs="Times New Roman" w:eastAsia="Times New Roman" w:hAnsi="Times New Roman"/>
          <w:b/>
          <w:bCs/>
          <w:i/>
          <w:iCs/>
          <w:sz w:val="20"/>
          <w:szCs w:val="20"/>
        </w:rPr>
        <w:t xml:space="preserve">A. Research Questions</w:t>
      </w:r>
    </w:p>
    <w:p>
      <w:pPr>
        <w:spacing w:after="60" w:line="240"/>
        <w:jc w:val="both"/>
      </w:pPr>
      <w:r>
        <w:rPr>
          <w:rFonts w:ascii="Times New Roman" w:cs="Times New Roman" w:eastAsia="Times New Roman" w:hAnsi="Times New Roman"/>
          <w:b w:val="false"/>
          <w:bCs w:val="false"/>
          <w:i w:val="false"/>
          <w:iCs w:val="false"/>
          <w:sz w:val="20"/>
          <w:szCs w:val="20"/>
        </w:rPr>
        <w:t xml:space="preserve">We formally define four research questions that structure the experimental evaluation:</w:t>
      </w:r>
    </w:p>
    <w:p>
      <w:pPr>
        <w:spacing w:after="3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RQ1 (Coverage): Does NetLogic detect a significantly higher proportion of ground-truth vulnerabilities than the Nessus-comparable baseline while maintaining acceptable precision?</w:t>
      </w:r>
    </w:p>
    <w:p>
      <w:pPr>
        <w:spacing w:after="3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RQ2 (Confidence Calibration): Do the HIGH, MEDIUM, and LOW confidence tiers produce empirically bounded false-positive rates consistent with their design targets (3%, 12%, and 31% respectively)?</w:t>
      </w:r>
    </w:p>
    <w:p>
      <w:pPr>
        <w:spacing w:after="3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RQ3 (Cross-Domain Correlation): Does the cross-domain correlation engine reliably identify multi-vector exposure patterns, and do detected patterns correspond to ground-truth multi-service attack surfaces?</w:t>
      </w:r>
    </w:p>
    <w:p>
      <w:pPr>
        <w:spacing w:after="3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RQ4 (Offline/Online Parity): How closely does NetLogic's offline analysis mode (applied to previously captured PCAP and banner data) replicate the recall of live scanning?</w:t>
      </w:r>
    </w:p>
    <w:p>
      <w:pPr>
        <w:spacing w:after="40"/>
      </w:pPr>
      <w:r>
        <w:t xml:space="preserve"/>
      </w:r>
    </w:p>
    <w:p>
      <w:pPr>
        <w:spacing w:after="60" w:before="120"/>
      </w:pPr>
      <w:r>
        <w:rPr>
          <w:rFonts w:ascii="Times New Roman" w:cs="Times New Roman" w:eastAsia="Times New Roman" w:hAnsi="Times New Roman"/>
          <w:b/>
          <w:bCs/>
          <w:i/>
          <w:iCs/>
          <w:sz w:val="20"/>
          <w:szCs w:val="20"/>
        </w:rPr>
        <w:t xml:space="preserve">B. Contributions</w:t>
      </w:r>
    </w:p>
    <w:p>
      <w:pPr>
        <w:spacing w:after="60" w:line="240"/>
        <w:jc w:val="both"/>
      </w:pPr>
      <w:r>
        <w:rPr>
          <w:rFonts w:ascii="Times New Roman" w:cs="Times New Roman" w:eastAsia="Times New Roman" w:hAnsi="Times New Roman"/>
          <w:b w:val="false"/>
          <w:bCs w:val="false"/>
          <w:i w:val="false"/>
          <w:iCs w:val="false"/>
          <w:sz w:val="20"/>
          <w:szCs w:val="20"/>
        </w:rPr>
        <w:t xml:space="preserve">This paper makes the following contributions to the network security measurement literature:</w:t>
      </w:r>
    </w:p>
    <w:p>
      <w:pPr>
        <w:spacing w:after="3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1. A rigorous seven-experiment evaluation framework for zero-dependency vulnerability scanners, including methodology for synthetic testbed construction that avoids the reproducibility limitations of live network experiments.</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2. The first published empirical characterization of NetLogic's detection coverage, confidence calibration, correlation accuracy, and offline parity, establishing baseline performance metrics for future comparative studies.</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3. A statistical analysis using Wilcoxon signed-rank and Mann-Whitney U tests demonstrating that observed F1 improvements and speedup factors are unlikely to be attributable to chance, with discussion of appropriate effect-size interpretation under small sample constraints.</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4. Quantitative evidence that a three-tier confidence model can meaningfully stratify detection output quality, enabling analysts to allocate triage effort proportionally rather than applying uniform scrutiny to all findings.</w:t>
      </w:r>
    </w:p>
    <w:p>
      <w:pPr>
        <w:spacing w:after="40"/>
      </w:pPr>
      <w:r>
        <w:t xml:space="preserve"/>
      </w:r>
    </w:p>
    <w:p>
      <w:pPr>
        <w:spacing w:after="60" w:before="120"/>
      </w:pPr>
      <w:r>
        <w:rPr>
          <w:rFonts w:ascii="Times New Roman" w:cs="Times New Roman" w:eastAsia="Times New Roman" w:hAnsi="Times New Roman"/>
          <w:b/>
          <w:bCs/>
          <w:i/>
          <w:iCs/>
          <w:sz w:val="20"/>
          <w:szCs w:val="20"/>
        </w:rPr>
        <w:t xml:space="preserve">C. Paper Organization</w:t>
      </w:r>
    </w:p>
    <w:p>
      <w:pPr>
        <w:spacing w:after="60" w:line="240"/>
        <w:jc w:val="both"/>
      </w:pPr>
      <w:r>
        <w:rPr>
          <w:rFonts w:ascii="Times New Roman" w:cs="Times New Roman" w:eastAsia="Times New Roman" w:hAnsi="Times New Roman"/>
          <w:b w:val="false"/>
          <w:bCs w:val="false"/>
          <w:i w:val="false"/>
          <w:iCs w:val="false"/>
          <w:sz w:val="20"/>
          <w:szCs w:val="20"/>
        </w:rPr>
        <w:t xml:space="preserve">The remainder of this paper is organized as follows. Section II surveys related work in network vulnerability assessment, detection confidence modeling, and multi-engine correlation. Section III defines the threat model and scope assumptions. Section IV describes the NetLogic system architecture in detail. Section V explains the experimental methodology, testbed design, and statistical approach. Section VI presents results for all seven experiments with detailed analysis. Section VII discusses implications, limitations, and comparison with the state of the art. Section VIII outlines future research directions, and Section IX concludes.</w:t>
      </w:r>
    </w:p>
    <w:p>
      <w:pPr>
        <w:spacing w:after="40"/>
      </w:pPr>
      <w:r>
        <w:t xml:space="preserve"/>
      </w:r>
    </w:p>
    <w:p>
      <w:pPr>
        <w:spacing w:after="80" w:before="180"/>
        <w:jc w:val="center"/>
      </w:pPr>
      <w:r>
        <w:rPr>
          <w:rFonts w:ascii="Times New Roman" w:cs="Times New Roman" w:eastAsia="Times New Roman" w:hAnsi="Times New Roman"/>
          <w:b/>
          <w:bCs/>
          <w:sz w:val="20"/>
          <w:szCs w:val="20"/>
        </w:rPr>
        <w:t xml:space="preserve">II. BACKGROUND AND RELATED WORK</w:t>
      </w:r>
    </w:p>
    <w:p>
      <w:pPr>
        <w:spacing w:after="60" w:before="120"/>
      </w:pPr>
      <w:r>
        <w:rPr>
          <w:rFonts w:ascii="Times New Roman" w:cs="Times New Roman" w:eastAsia="Times New Roman" w:hAnsi="Times New Roman"/>
          <w:b/>
          <w:bCs/>
          <w:i/>
          <w:iCs/>
          <w:sz w:val="20"/>
          <w:szCs w:val="20"/>
        </w:rPr>
        <w:t xml:space="preserve">A. Network Vulnerability Scanners</w:t>
      </w:r>
    </w:p>
    <w:p>
      <w:pPr>
        <w:spacing w:after="60" w:line="240"/>
        <w:jc w:val="both"/>
      </w:pPr>
      <w:r>
        <w:rPr>
          <w:rFonts w:ascii="Times New Roman" w:cs="Times New Roman" w:eastAsia="Times New Roman" w:hAnsi="Times New Roman"/>
          <w:b w:val="false"/>
          <w:bCs w:val="false"/>
          <w:i w:val="false"/>
          <w:iCs w:val="false"/>
          <w:sz w:val="20"/>
          <w:szCs w:val="20"/>
        </w:rPr>
        <w:t xml:space="preserve">Vulnerability scanners have evolved significantly since the early port-scanning tools of the 1990s. Nmap [4], arguably the most widely deployed open-source scanner, introduced service version detection and NSE scripting capability that elevated raw port enumeration to limited vulnerability identification. Subsequent commercial platforms—notably Nessus (2000), OpenVAS (2005), and Qualys Cloud Platform (2006)—industrialized the approach by maintaining curated plugin databases that translate raw service fingerprints into CVE mappings.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fundamental architecture shared by most scanners follows a probe-match pipeline: the tool emits protocol-specific probes to candidate hosts, parses returned banners or protocol responses, and matches observed versions against a vulnerability database. This approach has known limitations: (a) services that suppress version banners evade detection entirely; (b) partial version matches produce false positives when a vendor backports patches without incrementing version strings; and (c) aggressive probing can disrupt fragile industrial control systems or trigger intrusion detection signatures.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Recent work has explored augmenting probe-based scanners with passive traffic analysis [5], certificate transparency log analysis [6], and DNS-derived service enumeration [7]. These complementary approaches reduce active probing load but introduce their own coverage gaps for services that lack public-facing certificate or DNS infrastructure. NetLogic synthesizes all three modalities—active probing, passive certificate analysis, and DNS enumeration—within a unified confidence-weighted output framework.</w:t>
      </w:r>
    </w:p>
    <w:p>
      <w:pPr>
        <w:spacing w:after="40"/>
      </w:pPr>
      <w:r>
        <w:t xml:space="preserve"/>
      </w:r>
    </w:p>
    <w:p>
      <w:pPr>
        <w:spacing w:after="60" w:before="120"/>
      </w:pPr>
      <w:r>
        <w:rPr>
          <w:rFonts w:ascii="Times New Roman" w:cs="Times New Roman" w:eastAsia="Times New Roman" w:hAnsi="Times New Roman"/>
          <w:b/>
          <w:bCs/>
          <w:i/>
          <w:iCs/>
          <w:sz w:val="20"/>
          <w:szCs w:val="20"/>
        </w:rPr>
        <w:t xml:space="preserve">B. False Positive Management in Vulnerability Assessment</w:t>
      </w:r>
    </w:p>
    <w:p>
      <w:pPr>
        <w:spacing w:after="60" w:line="240"/>
        <w:jc w:val="both"/>
      </w:pPr>
      <w:r>
        <w:rPr>
          <w:rFonts w:ascii="Times New Roman" w:cs="Times New Roman" w:eastAsia="Times New Roman" w:hAnsi="Times New Roman"/>
          <w:b w:val="false"/>
          <w:bCs w:val="false"/>
          <w:i w:val="false"/>
          <w:iCs w:val="false"/>
          <w:sz w:val="20"/>
          <w:szCs w:val="20"/>
        </w:rPr>
        <w:t xml:space="preserve">False positives remain the most significant practical obstacle to vulnerability scanner adoption [8]. Studies of enterprise vulnerability management programs report that 40–70% of scanner-reported findings are false positives in typical deployments, with rates varying substantially across scanner type, network environment, and the age of the vulnerability plugin [9]. Analyst survey data consistently identifies excessive false positive rates as the primary cause of alert fatigue and scanner distrust.</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Existing mitigations include credentialed scanning (which enables direct package-version queries rather than banner inference), scanner-specific safe-check modes that suppress potentially unstable probes, and post-processing filters that suppress findings below configurable CVSS thresholds. Each mitigation involves tradeoffs: credentialed scanning requires maintained credential stores that represent their own security risk; safe-check modes reduce coverage; CVSS threshold filtering discards contextually relevant low-severity findings.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Probabilistic approaches to false positive modeling have been proposed in the research literature. Bau et al. [10] developed a Bayesian framework for estimating scanner-specific true positive rates conditioned on observation context, but their approach requires historical ground-truth labeling that is often unavailable in newly instrumented environments. McNemar test-based comparison of scanner pairs [11] can identify systematic differences in false-positive propensity but does not provide per-finding confidence estimates.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NetLogic's three-tier confidence model represents a practitioner-oriented alternative: rather than attempting to compute per-finding posterior probabilities (which requires ground truth), it categorizes findings based on the evidence quality of the detection method itself—direct version match from authenticated sources (HIGH), inferred version from banner heuristics (MEDIUM), or behavioral inference without version confirmation (LOW). This approach allows analysts to apply different review thresholds per tier without requiring historical calibration data.</w:t>
      </w:r>
    </w:p>
    <w:p>
      <w:pPr>
        <w:spacing w:after="40"/>
      </w:pPr>
      <w:r>
        <w:t xml:space="preserve"/>
      </w:r>
    </w:p>
    <w:p>
      <w:pPr>
        <w:spacing w:after="60" w:before="120"/>
      </w:pPr>
      <w:r>
        <w:rPr>
          <w:rFonts w:ascii="Times New Roman" w:cs="Times New Roman" w:eastAsia="Times New Roman" w:hAnsi="Times New Roman"/>
          <w:b/>
          <w:bCs/>
          <w:i/>
          <w:iCs/>
          <w:sz w:val="20"/>
          <w:szCs w:val="20"/>
        </w:rPr>
        <w:t xml:space="preserve">C. Multi-Engine Correlation and Attack Surface Discovery</w:t>
      </w:r>
    </w:p>
    <w:p>
      <w:pPr>
        <w:spacing w:after="60" w:line="240"/>
        <w:jc w:val="both"/>
      </w:pPr>
      <w:r>
        <w:rPr>
          <w:rFonts w:ascii="Times New Roman" w:cs="Times New Roman" w:eastAsia="Times New Roman" w:hAnsi="Times New Roman"/>
          <w:b w:val="false"/>
          <w:bCs w:val="false"/>
          <w:i w:val="false"/>
          <w:iCs w:val="false"/>
          <w:sz w:val="20"/>
          <w:szCs w:val="20"/>
        </w:rPr>
        <w:t xml:space="preserve">Single-engine scanners are inherently limited by the detection surface of their probe methodology. A port scanner detects open ports; a web application scanner detects HTTP-layer vulnerabilities; a certificate analyzer detects cryptographic weaknesses. Each engine type has characteristic blind spots that adversaries can deliberately exploit.</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Multi-engine correlation addresses this limitation by synthesizing findings across engines. Weidman [12] demonstrated that combining port, service, and application-layer scanning produces substantially higher coverage than any single method applied in isolation. However, naive correlation—simply unioning all findings—amplifies false positives proportionally. Effective correlation must identify findings that are mutually reinforcing (increasing confidence) versus findings that appear independent (maintaining individual confidence estimates).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Cross-domain correlation is a specific subset of multi-engine correlation that targets exposure patterns spanning multiple network-layer contexts. For example, an SSH service exposed on a non-standard port (detected by port scanning) that also presents a self-signed certificate (detected by certificate analysis) and resolves to an internal hostname via DNS (detected by DNS enumeration) presents a qualitatively different risk profile than any single observation suggests individually. NetLogic implements five such cross-domain pattern templates drawn from MITRE ATT&amp;CK [13] technique combinations.</w:t>
      </w:r>
    </w:p>
    <w:p>
      <w:pPr>
        <w:spacing w:after="40"/>
      </w:pPr>
      <w:r>
        <w:t xml:space="preserve"/>
      </w:r>
    </w:p>
    <w:p>
      <w:pPr>
        <w:spacing w:after="60" w:before="120"/>
      </w:pPr>
      <w:r>
        <w:rPr>
          <w:rFonts w:ascii="Times New Roman" w:cs="Times New Roman" w:eastAsia="Times New Roman" w:hAnsi="Times New Roman"/>
          <w:b/>
          <w:bCs/>
          <w:i/>
          <w:iCs/>
          <w:sz w:val="20"/>
          <w:szCs w:val="20"/>
        </w:rPr>
        <w:t xml:space="preserve">D. CVE Evidence Fusion</w:t>
      </w:r>
    </w:p>
    <w:p>
      <w:pPr>
        <w:spacing w:after="60" w:line="240"/>
        <w:jc w:val="both"/>
      </w:pPr>
      <w:r>
        <w:rPr>
          <w:rFonts w:ascii="Times New Roman" w:cs="Times New Roman" w:eastAsia="Times New Roman" w:hAnsi="Times New Roman"/>
          <w:b w:val="false"/>
          <w:bCs w:val="false"/>
          <w:i w:val="false"/>
          <w:iCs w:val="false"/>
          <w:sz w:val="20"/>
          <w:szCs w:val="20"/>
        </w:rPr>
        <w:t xml:space="preserve">Vulnerability intelligence sources vary substantially in their coverage, latency, and accuracy. The NVD [14] provides the most comprehensive CVE database but is known to have scoring delays of weeks to months for newly disclosed vulnerabilities [15]. The CISA Known Exploited Vulnerabilities (KEV) catalog [16] provides a smaller but high-confidence subset of vulnerabilities with confirmed active exploitation. Metasploit module availability serves as a strong indicator of weaponization maturity [17], and public proof-of-concept (PoC) code repositories provide a lagging but useful signal of exploit accessibility.</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NetLogic's evidence fusion algorithm assigns a composite priority score to each detected vulnerability by combining NVD CVSS base score, KEV membership (binary), Metasploit module availability (binary), and public PoC presence (binary). This fusion approach is consistent with SSVC (Stakeholder-Specific Vulnerability Categorization) [18], which similarly combines exploitation status and CVE severity to produce actionable prioritization rather than raw severity scores.</w:t>
      </w:r>
    </w:p>
    <w:p>
      <w:pPr>
        <w:spacing w:after="40"/>
      </w:pPr>
      <w:r>
        <w:t xml:space="preserve"/>
      </w:r>
    </w:p>
    <w:p>
      <w:pPr>
        <w:spacing w:after="60" w:before="120"/>
      </w:pPr>
      <w:r>
        <w:rPr>
          <w:rFonts w:ascii="Times New Roman" w:cs="Times New Roman" w:eastAsia="Times New Roman" w:hAnsi="Times New Roman"/>
          <w:b/>
          <w:bCs/>
          <w:i/>
          <w:iCs/>
          <w:sz w:val="20"/>
          <w:szCs w:val="20"/>
        </w:rPr>
        <w:t xml:space="preserve">E. Offline and Air-Gap Analysis</w:t>
      </w:r>
    </w:p>
    <w:p>
      <w:pPr>
        <w:spacing w:after="60" w:line="240"/>
        <w:jc w:val="both"/>
      </w:pPr>
      <w:r>
        <w:rPr>
          <w:rFonts w:ascii="Times New Roman" w:cs="Times New Roman" w:eastAsia="Times New Roman" w:hAnsi="Times New Roman"/>
          <w:b w:val="false"/>
          <w:bCs w:val="false"/>
          <w:i w:val="false"/>
          <w:iCs w:val="false"/>
          <w:sz w:val="20"/>
          <w:szCs w:val="20"/>
        </w:rPr>
        <w:t xml:space="preserve">A significant fraction of enterprise networks include segments where active scanning is operationally prohibited—industrial control system (ICS) networks, production payment processing environments, and healthcare networks subject to strict availability requirements. Security assessment of these segments traditionally relies on manual inspection or infrequent credentialed scans conducted during maintenance windows.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Passive analysis of previously captured network traffic offers an alternative path to vulnerability identification in restricted segments. Benson et al. [19] demonstrated that passive banner collection from existing PCAP captures can recover 60–85% of the service version information available from active scanning, with the remainder requiring active confirmation probes. NetLogic's offline analysis mode operationalizes this approach by applying its detection engine to pre-captured banner collections, enabling security teams to obtain structured vulnerability assessments from traffic already captured by existing network monitoring infrastructure.</w:t>
      </w:r>
    </w:p>
    <w:p>
      <w:pPr>
        <w:spacing w:after="40"/>
      </w:pPr>
      <w:r>
        <w:t xml:space="preserve"/>
      </w:r>
    </w:p>
    <w:p>
      <w:pPr>
        <w:spacing w:after="80" w:before="180"/>
        <w:jc w:val="center"/>
      </w:pPr>
      <w:r>
        <w:rPr>
          <w:rFonts w:ascii="Times New Roman" w:cs="Times New Roman" w:eastAsia="Times New Roman" w:hAnsi="Times New Roman"/>
          <w:b/>
          <w:bCs/>
          <w:sz w:val="20"/>
          <w:szCs w:val="20"/>
        </w:rPr>
        <w:t xml:space="preserve">III. THREAT MODEL AND SCOPE</w:t>
      </w:r>
    </w:p>
    <w:p>
      <w:pPr>
        <w:spacing w:after="60" w:before="120"/>
      </w:pPr>
      <w:r>
        <w:rPr>
          <w:rFonts w:ascii="Times New Roman" w:cs="Times New Roman" w:eastAsia="Times New Roman" w:hAnsi="Times New Roman"/>
          <w:b/>
          <w:bCs/>
          <w:i/>
          <w:iCs/>
          <w:sz w:val="20"/>
          <w:szCs w:val="20"/>
        </w:rPr>
        <w:t xml:space="preserve">A. Defender Assumptions</w:t>
      </w:r>
    </w:p>
    <w:p>
      <w:pPr>
        <w:spacing w:after="60" w:line="240"/>
        <w:jc w:val="both"/>
      </w:pPr>
      <w:r>
        <w:rPr>
          <w:rFonts w:ascii="Times New Roman" w:cs="Times New Roman" w:eastAsia="Times New Roman" w:hAnsi="Times New Roman"/>
          <w:b w:val="false"/>
          <w:bCs w:val="false"/>
          <w:i w:val="false"/>
          <w:iCs w:val="false"/>
          <w:sz w:val="20"/>
          <w:szCs w:val="20"/>
        </w:rPr>
        <w:t xml:space="preserve">This evaluation models the perspective of an internal security operations team with legitimate authorization to conduct vulnerability assessments across the target network segment. The defender has read access to existing network monitoring infrastructure (for offline analysis experiments) and permission to conduct active scans with the limitations described in Section V-A. The defender operates without administrative credentials on target hosts, which reflects the most common real-world deployment scenario for non-credentialed scanning tools.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We assume the defender possesses a current network asset inventory sufficient to enumerate the target IP ranges and service port expectations, and that the assessment window is constrained to a four-hour continuous period per experiment run. These assumptions are representative of typical internal penetration testing and compliance scanning engagements.</w:t>
      </w:r>
    </w:p>
    <w:p>
      <w:pPr>
        <w:spacing w:after="40"/>
      </w:pPr>
      <w:r>
        <w:t xml:space="preserve"/>
      </w:r>
    </w:p>
    <w:p>
      <w:pPr>
        <w:spacing w:after="60" w:before="120"/>
      </w:pPr>
      <w:r>
        <w:rPr>
          <w:rFonts w:ascii="Times New Roman" w:cs="Times New Roman" w:eastAsia="Times New Roman" w:hAnsi="Times New Roman"/>
          <w:b/>
          <w:bCs/>
          <w:i/>
          <w:iCs/>
          <w:sz w:val="20"/>
          <w:szCs w:val="20"/>
        </w:rPr>
        <w:t xml:space="preserve">B. Adversary Model</w:t>
      </w:r>
    </w:p>
    <w:p>
      <w:pPr>
        <w:spacing w:after="60" w:line="240"/>
        <w:jc w:val="both"/>
      </w:pPr>
      <w:r>
        <w:rPr>
          <w:rFonts w:ascii="Times New Roman" w:cs="Times New Roman" w:eastAsia="Times New Roman" w:hAnsi="Times New Roman"/>
          <w:b w:val="false"/>
          <w:bCs w:val="false"/>
          <w:i w:val="false"/>
          <w:iCs w:val="false"/>
          <w:sz w:val="20"/>
          <w:szCs w:val="20"/>
        </w:rPr>
        <w:t xml:space="preserve">We consider adversaries who have already established an initial foothold within the network perimeter—either through phishing, supply-chain compromise, or exploitation of a publicly exposed service—and are engaged in lateral movement and privilege escalation activities consistent with the MITRE ATT&amp;CK Enterprise framework. The relevant adversary objective for this evaluation is to exploit vulnerable network services (TA0008: Lateral Movement) while evading detection by security monitoring tools.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We explicitly exclude nation-state adversaries with access to zero-day exploits against NetLogic itself, physical access to network equipment, and adversaries capable of performing sustained denial-of-service attacks against scanning infrastructure during the assessment window. These exclusions are standard in vulnerability assessment tool evaluations and do not materially limit the ecological validity of results for the deployment contexts targeted by NetLogic.</w:t>
      </w:r>
    </w:p>
    <w:p>
      <w:pPr>
        <w:spacing w:after="40"/>
      </w:pPr>
      <w:r>
        <w:t xml:space="preserve"/>
      </w:r>
    </w:p>
    <w:p>
      <w:pPr>
        <w:spacing w:after="60" w:before="120"/>
      </w:pPr>
      <w:r>
        <w:rPr>
          <w:rFonts w:ascii="Times New Roman" w:cs="Times New Roman" w:eastAsia="Times New Roman" w:hAnsi="Times New Roman"/>
          <w:b/>
          <w:bCs/>
          <w:i/>
          <w:iCs/>
          <w:sz w:val="20"/>
          <w:szCs w:val="20"/>
        </w:rPr>
        <w:t xml:space="preserve">C. Scope Boundaries</w:t>
      </w:r>
    </w:p>
    <w:p>
      <w:pPr>
        <w:spacing w:after="60" w:line="240"/>
        <w:jc w:val="both"/>
      </w:pPr>
      <w:r>
        <w:rPr>
          <w:rFonts w:ascii="Times New Roman" w:cs="Times New Roman" w:eastAsia="Times New Roman" w:hAnsi="Times New Roman"/>
          <w:b w:val="false"/>
          <w:bCs w:val="false"/>
          <w:i w:val="false"/>
          <w:iCs w:val="false"/>
          <w:sz w:val="20"/>
          <w:szCs w:val="20"/>
        </w:rPr>
        <w:t xml:space="preserve">This evaluation focuses exclusively on network-layer and service-layer vulnerability detection. Web application vulnerabilities (e.g., SQL injection, XSS) that require application-layer authentication are outside scope. Physical security, social engineering, and supply chain attack vectors are similarly excluded. Detection of custom or proprietary protocols beyond those represented in the 15-service testbed is noted as a limitation in Section VII-C.</w:t>
      </w:r>
    </w:p>
    <w:p>
      <w:pPr>
        <w:spacing w:after="40"/>
      </w:pPr>
      <w:r>
        <w:t xml:space="preserve"/>
      </w:r>
    </w:p>
    <w:p>
      <w:pPr>
        <w:spacing w:after="80" w:before="180"/>
        <w:jc w:val="center"/>
      </w:pPr>
      <w:r>
        <w:rPr>
          <w:rFonts w:ascii="Times New Roman" w:cs="Times New Roman" w:eastAsia="Times New Roman" w:hAnsi="Times New Roman"/>
          <w:b/>
          <w:bCs/>
          <w:sz w:val="20"/>
          <w:szCs w:val="20"/>
        </w:rPr>
        <w:t xml:space="preserve">IV. NETLOGIC SYSTEM ARCHITECTURE</w:t>
      </w:r>
    </w:p>
    <w:p>
      <w:pPr>
        <w:spacing w:after="60" w:line="240"/>
        <w:jc w:val="both"/>
      </w:pPr>
      <w:r>
        <w:rPr>
          <w:rFonts w:ascii="Times New Roman" w:cs="Times New Roman" w:eastAsia="Times New Roman" w:hAnsi="Times New Roman"/>
          <w:b w:val="false"/>
          <w:bCs w:val="false"/>
          <w:i w:val="false"/>
          <w:iCs w:val="false"/>
          <w:sz w:val="20"/>
          <w:szCs w:val="20"/>
        </w:rPr>
        <w:t xml:space="preserve">NetLogic is implemented as a single Python 3.9+ source file of approximately 4,200 lines, with zero external pip dependencies. All network communication uses the standard library socket module; all cryptographic operations use the hashlib and ssl standard library modules; JSON parsing uses json; and subprocess invocation of system-installed tools (nmap, openssl) is used opportunistically when available but is never required. This zero-dependency design enables deployment in air-gapped environments and containers with minimal base images without modification to the execution environment.</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architecture consists of five logical subsystems: the scan engine dispatcher, the evidence fusion layer, the confidence classification engine, the cross-domain correlation engine, and the report generator. Figure 1 illustrates the overall data flow.</w:t>
      </w:r>
    </w:p>
    <w:p>
      <w:pPr>
        <w:spacing w:after="40"/>
      </w:pPr>
      <w:r>
        <w:t xml:space="preserve"/>
      </w:r>
    </w:p>
    <w:p>
      <w:pPr>
        <w:spacing w:after="60" w:before="120"/>
      </w:pPr>
      <w:r>
        <w:rPr>
          <w:rFonts w:ascii="Times New Roman" w:cs="Times New Roman" w:eastAsia="Times New Roman" w:hAnsi="Times New Roman"/>
          <w:b/>
          <w:bCs/>
          <w:i/>
          <w:iCs/>
          <w:sz w:val="20"/>
          <w:szCs w:val="20"/>
        </w:rPr>
        <w:t xml:space="preserve">A. Scan Engine Dispatcher</w:t>
      </w:r>
    </w:p>
    <w:p>
      <w:pPr>
        <w:spacing w:after="60" w:line="240"/>
        <w:jc w:val="both"/>
      </w:pPr>
      <w:r>
        <w:rPr>
          <w:rFonts w:ascii="Times New Roman" w:cs="Times New Roman" w:eastAsia="Times New Roman" w:hAnsi="Times New Roman"/>
          <w:b w:val="false"/>
          <w:bCs w:val="false"/>
          <w:i w:val="false"/>
          <w:iCs w:val="false"/>
          <w:sz w:val="20"/>
          <w:szCs w:val="20"/>
        </w:rPr>
        <w:t xml:space="preserve">The dispatcher coordinates nine independent scan engines, each specialized for a distinct detection modality. Engines are executed in parallel using Python's concurrent.futures.ThreadPoolExecutor with a configurable worker pool (default: min(32, os.cpu_count() + 4)). Engine outputs are collated into a unified finding schema with fields for: host, port, service, detected_version, confidence_tier, cve_list, evidence_type, and raw_probe_data.</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Engine 1 (TCP Banner): Establishes raw TCP connections and reads initial server banners with a configurable timeout (default: 3 seconds). Banners are matched against a curated regex library covering 847 distinct service version patterns across 94 service families. Matches are assigned MEDIUM confidence due to inherent banner spoofability.</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Engine 2 (SSL/TLS Certificate): Performs TLS handshake against HTTPS, SMTPS, IMAPS, and other SSL-wrapped services using Python's ssl.SSLContext with TLSv1.2 minimum. Extracts subject, issuer, SANs, key algorithm, key size, signature algorithm, and expiration. Identifies deprecated TLS versions (1.0, 1.1), weak key sizes (&lt;2048 RSA), SHA-1 signatures, and self-signed certificates. Certificate-specific findings are assigned HIGH confidence because certificate properties are directly observable without version inference.</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Engine 3 (HTTP Fingerprint): Sends HTTP/1.1 GET requests to port 80, 8080, and 443 and analyzes response headers (Server, X-Powered-By, X-Generator), HTML meta tags, JavaScript library references, and error page content. Extracts framework and CMS version strings using a 312-pattern library covering Apache, nginx, IIS, WordPress, Drupal, Joomla, and 23 additional platforms.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Engine 4 (SMB Enumeration): Connects to port 445 and performs SMB negotiation to extract server OS version, SMB dialect support, and signing requirements. Identifies EternalBlue-susceptible configurations (SMBv1 enabled), null session permissions, and guest account activity. SMB-specific CVE mappings include MS17-010 (CVE-2017-0144), MS08-067, and SMB signing bypass patterns.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Engine 5 (SSH Audit): Connects to port 22 and parses the SSH protocol banner and algorithm negotiation exchange. Extracts server version string, supported key exchange algorithms, host key types, and encryption ciphers. Identifies deprecated algorithms (diffie-hellman-group1-sha1, arcfour), obsolete SSH-1 protocol use, and version strings matching known-vulnerable OpenSSH releases.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Engine 6 (DNS Reconnaissance): Performs forward and reverse DNS lookups, zone transfer attempts (AXFR), and SPF/DMARC/DKIM record analysis. Detects zone transfer misconfigurations, dangling CNAME records, and wildcard DNS configurations that may indicate subdomain takeover exposure.</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Engine 7 (SNMP Probe): Sends SNMPv1 and SNMPv2c GET-REQUEST PDUs with community strings from a configurable list (default includes 'public', 'private', 'community'). Successful responses reveal device type, OS version, and system description. Community string guessing findings are assigned LOW confidence due to high environmental variability.</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Engine 8 (Database Banner): Connects to ports 1433 (MSSQL), 3306 (MySQL/MariaDB), 5432 (PostgreSQL), 1521 (Oracle), and 27017 (MongoDB) and performs protocol-level handshake to extract server version strings. Database version findings are correlated against CVE databases for known injection, privilege escalation, and remote code execution vulnerabilities.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Engine 9 (ICMP/TTL Analysis): Sends ICMP echo requests and analyzes TTL values to infer operating system family. Supplements banner-based OS detection with network-layer observations that cannot be suppressed by application-layer banner scrubbing. ICMP-based findings are assigned LOW confidence as supplementary corroborating evidence only.</w:t>
      </w:r>
    </w:p>
    <w:p>
      <w:pPr>
        <w:spacing w:after="40"/>
      </w:pPr>
      <w:r>
        <w:t xml:space="preserve"/>
      </w:r>
    </w:p>
    <w:p>
      <w:pPr>
        <w:spacing w:after="60" w:before="120"/>
      </w:pPr>
      <w:r>
        <w:rPr>
          <w:rFonts w:ascii="Times New Roman" w:cs="Times New Roman" w:eastAsia="Times New Roman" w:hAnsi="Times New Roman"/>
          <w:b/>
          <w:bCs/>
          <w:i/>
          <w:iCs/>
          <w:sz w:val="20"/>
          <w:szCs w:val="20"/>
        </w:rPr>
        <w:t xml:space="preserve">B. Evidence Fusion and CVE Prioritization</w:t>
      </w:r>
    </w:p>
    <w:p>
      <w:pPr>
        <w:spacing w:after="60" w:line="240"/>
        <w:jc w:val="both"/>
      </w:pPr>
      <w:r>
        <w:rPr>
          <w:rFonts w:ascii="Times New Roman" w:cs="Times New Roman" w:eastAsia="Times New Roman" w:hAnsi="Times New Roman"/>
          <w:b w:val="false"/>
          <w:bCs w:val="false"/>
          <w:i w:val="false"/>
          <w:iCs w:val="false"/>
          <w:sz w:val="20"/>
          <w:szCs w:val="20"/>
        </w:rPr>
        <w:t xml:space="preserve">Each CVE identified by the scan engines is subjected to a four-source evidence fusion process. The composite priority score P(cve) is computed as:</w:t>
      </w:r>
    </w:p>
    <w:p>
      <w:pPr>
        <w:spacing w:after="3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P(cve) = 0.40 × CVSS_norm + 0.30 × KEV_bin + 0.20 × MSF_bin + 0.10 × POC_bin</w:t>
      </w:r>
    </w:p>
    <w:p>
      <w:pPr>
        <w:spacing w:after="3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where CVSS_norm is the NVD CVSS v3.1 base score normalized to [0,1], KEV_bin is 1 if the CVE appears in the CISA KEV catalog and 0 otherwise, MSF_bin is 1 if a Metasploit module exists for the CVE, and POC_bin is 1 if a public PoC repository reference is recorded. The weight vector was derived from consultation with six security practitioners across three organizations to reflect typical triage prioritization patterns.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resulting priority scores are used to rank findings within each host and across the full scan scope. Findings with P(cve) &gt;= 0.80 are flagged as Critical and surfaced prominently in reports regardless of detection confidence tier, acknowledging that even LOW-confidence detections of CISA-KEV vulnerabilities warrant immediate analyst attention.</w:t>
      </w:r>
    </w:p>
    <w:p>
      <w:pPr>
        <w:spacing w:after="40"/>
      </w:pPr>
      <w:r>
        <w:t xml:space="preserve"/>
      </w:r>
    </w:p>
    <w:p>
      <w:pPr>
        <w:spacing w:after="60" w:before="120"/>
      </w:pPr>
      <w:r>
        <w:rPr>
          <w:rFonts w:ascii="Times New Roman" w:cs="Times New Roman" w:eastAsia="Times New Roman" w:hAnsi="Times New Roman"/>
          <w:b/>
          <w:bCs/>
          <w:i/>
          <w:iCs/>
          <w:sz w:val="20"/>
          <w:szCs w:val="20"/>
        </w:rPr>
        <w:t xml:space="preserve">C. Three-Tier Confidence Classification</w:t>
      </w:r>
    </w:p>
    <w:p>
      <w:pPr>
        <w:spacing w:after="60" w:line="240"/>
        <w:jc w:val="both"/>
      </w:pPr>
      <w:r>
        <w:rPr>
          <w:rFonts w:ascii="Times New Roman" w:cs="Times New Roman" w:eastAsia="Times New Roman" w:hAnsi="Times New Roman"/>
          <w:b w:val="false"/>
          <w:bCs w:val="false"/>
          <w:i w:val="false"/>
          <w:iCs w:val="false"/>
          <w:sz w:val="20"/>
          <w:szCs w:val="20"/>
        </w:rPr>
        <w:t xml:space="preserve">The confidence classification engine assigns each finding to one of three tiers based on the evidence quality of the originating detection method, the number of corroborating engines, and the version-string match precision.</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HIGH confidence is assigned when: (a) the detected version string exactly matches a known-vulnerable version in the CVE mapping database, (b) the detection is corroborated by at least two independent engines, and (c) the evidence source is not trivially spoofable (e.g., certificate properties, protocol negotiation outputs). Target FPR for HIGH: 3%.</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MEDIUM confidence is assigned when: (a) the detected version string prefix matches but minor version is unverified, or (b) a single engine produces a high-quality banner match without corroboration. Target FPR for MEDIUM: 12%.</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LOW confidence is assigned when: (a) behavioral indicators suggest vulnerability without version confirmation, (b) version inference relies on indirect signals (TTL, timing characteristics), or (c) the evidence source has known spoofability. Target FPR for LOW: 31%.</w:t>
      </w:r>
    </w:p>
    <w:p>
      <w:pPr>
        <w:spacing w:after="40"/>
      </w:pPr>
      <w:r>
        <w:t xml:space="preserve"/>
      </w:r>
    </w:p>
    <w:p>
      <w:pPr>
        <w:spacing w:after="60" w:before="120"/>
      </w:pPr>
      <w:r>
        <w:rPr>
          <w:rFonts w:ascii="Times New Roman" w:cs="Times New Roman" w:eastAsia="Times New Roman" w:hAnsi="Times New Roman"/>
          <w:b/>
          <w:bCs/>
          <w:i/>
          <w:iCs/>
          <w:sz w:val="20"/>
          <w:szCs w:val="20"/>
        </w:rPr>
        <w:t xml:space="preserve">D. Cross-Domain Correlation Engine</w:t>
      </w:r>
    </w:p>
    <w:p>
      <w:pPr>
        <w:spacing w:after="60" w:line="240"/>
        <w:jc w:val="both"/>
      </w:pPr>
      <w:r>
        <w:rPr>
          <w:rFonts w:ascii="Times New Roman" w:cs="Times New Roman" w:eastAsia="Times New Roman" w:hAnsi="Times New Roman"/>
          <w:b w:val="false"/>
          <w:bCs w:val="false"/>
          <w:i w:val="false"/>
          <w:iCs w:val="false"/>
          <w:sz w:val="20"/>
          <w:szCs w:val="20"/>
        </w:rPr>
        <w:t xml:space="preserve">The cross-domain correlation engine operates on the complete finding set after all nine engines have completed. It evaluates the finding collection against five pattern templates that capture multi-vector exposure characteristics:</w:t>
      </w:r>
    </w:p>
    <w:p>
      <w:pPr>
        <w:spacing w:after="3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Pattern C1 (Lateral Movement Surface): SSH on non-standard port + SMBv1 enabled + default SNMP community + internal DNS leak. Indicates an environment with multiple lateral movement vectors and weak network segmentation.</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Pattern C2 (Cryptographic Weakness Cluster): SSL/TLS &lt; 1.2 + weak certificate key + deprecated SSH cipher + database cleartext authentication. Indicates systematic cryptographic hygiene deficiency across the target.</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Pattern C3 (Credential Exposure Surface): Default database credentials + SNMP community string + SMB null session + anonymous FTP. Indicates an environment with multiple unauthenticated access vectors.</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Pattern C4 (Legacy Protocol Cluster): SMBv1 + FTPd without TLS + Telnet + HTTP without HTTPS redirect. Indicates legacy infrastructure with accumulated protocol debt.</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Pattern C5 (Reconnaissance Facilitating): DNS zone transfer + HTTP directory listing + SNMP walk + banner disclosure. Indicates an environment that provides adversaries with rich pre-exploitation intelligence.</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Each pattern match generates a synthetic cross-domain finding with confidence tier MEDIUM and a combined CVE list drawn from all constituent findings. Cross-domain findings are reported separately from individual engine findings to preserve interpretability.</w:t>
      </w:r>
    </w:p>
    <w:p>
      <w:pPr>
        <w:spacing w:after="40"/>
      </w:pPr>
      <w:r>
        <w:t xml:space="preserve"/>
      </w:r>
    </w:p>
    <w:p>
      <w:pPr>
        <w:spacing w:after="80" w:before="180"/>
        <w:jc w:val="center"/>
      </w:pPr>
      <w:r>
        <w:rPr>
          <w:rFonts w:ascii="Times New Roman" w:cs="Times New Roman" w:eastAsia="Times New Roman" w:hAnsi="Times New Roman"/>
          <w:b/>
          <w:bCs/>
          <w:sz w:val="20"/>
          <w:szCs w:val="20"/>
        </w:rPr>
        <w:t xml:space="preserve">V. EXPERIMENTAL METHODOLOGY</w:t>
      </w:r>
    </w:p>
    <w:p>
      <w:pPr>
        <w:spacing w:after="60" w:before="120"/>
      </w:pPr>
      <w:r>
        <w:rPr>
          <w:rFonts w:ascii="Times New Roman" w:cs="Times New Roman" w:eastAsia="Times New Roman" w:hAnsi="Times New Roman"/>
          <w:b/>
          <w:bCs/>
          <w:i/>
          <w:iCs/>
          <w:sz w:val="20"/>
          <w:szCs w:val="20"/>
        </w:rPr>
        <w:t xml:space="preserve">A. Testbed Design</w:t>
      </w:r>
    </w:p>
    <w:p>
      <w:pPr>
        <w:spacing w:after="60" w:line="240"/>
        <w:jc w:val="both"/>
      </w:pPr>
      <w:r>
        <w:rPr>
          <w:rFonts w:ascii="Times New Roman" w:cs="Times New Roman" w:eastAsia="Times New Roman" w:hAnsi="Times New Roman"/>
          <w:b w:val="false"/>
          <w:bCs w:val="false"/>
          <w:i w:val="false"/>
          <w:iCs w:val="false"/>
          <w:sz w:val="20"/>
          <w:szCs w:val="20"/>
        </w:rPr>
        <w:t xml:space="preserve">The experimental testbed consists of 15 synthetic service profiles representing a heterogeneous enterprise network segment. Each profile is constructed from real service characteristics drawn from Shodan census data [20] and CISecurity benchmark documentation, parameterized to produce statistically realistic fingerprint diversity without requiring live running service instances. The 15 profiles span five service categories: (1) web services (Apache 2.4.49, nginx 1.14.0, IIS 8.5); (2) remote access (OpenSSH 7.4, OpenSSH 8.2, RDP); (3) database (MySQL 5.6.35, PostgreSQL 9.6.5, MongoDB 4.0.0); (4) network infrastructure (BIND 9.11.4, vsftpd 3.0.3, Postfix 3.3.0); and (5) Windows services (SMBv1/EternalBlue, SMBv2, MSRPC).</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ground truth corpus contains 31 CVEs mapped across the 15 service profiles, drawn from NVD entries with CVSS v3.1 base scores ranging from 5.3 to 10.0. All 31 CVEs have Metasploit module coverage, providing a conservative ground truth that represents exploitable-in-practice vulnerabilities rather than theoretical exposure. Additionally, 5 misconfigurations (SNMP default community, SMB null session, weak SSH ciphers, HTTP without HSTS, anonymous FTP) are included. Ground truth CVE selection criteria required: CVSS &gt;= 5.0, NVD publication before January 2024, and at least one public PoC repository reference.</w:t>
      </w:r>
    </w:p>
    <w:p>
      <w:pPr>
        <w:spacing w:after="40"/>
      </w:pPr>
      <w:r>
        <w:t xml:space="preserve"/>
      </w:r>
    </w:p>
    <w:p>
      <w:pPr>
        <w:spacing w:after="40" w:before="120"/>
        <w:jc w:val="center"/>
      </w:pPr>
      <w:r>
        <w:rPr>
          <w:rFonts w:ascii="Times New Roman" w:cs="Times New Roman" w:eastAsia="Times New Roman" w:hAnsi="Times New Roman"/>
          <w:b/>
          <w:bCs/>
          <w:smallCaps/>
          <w:sz w:val="18"/>
          <w:szCs w:val="18"/>
        </w:rPr>
        <w:t xml:space="preserve">TABLE I. Experimental Testbed: Service Profiles and Ground Truth CVE Assignments</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700"/>
        <w:gridCol w:w="620"/>
      </w:tblGrid>
      <w:tr>
        <w:trPr>
          <w:tblHeader/>
        </w:trPr>
        <w:tc>
          <w:tcPr>
            <w:tcW w:type="dxa" w:w="17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Service / Version</w:t>
            </w:r>
          </w:p>
        </w:tc>
        <w:tc>
          <w:tcPr>
            <w:tcW w:type="dxa" w:w="13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CVE IDs</w:t>
            </w:r>
          </w:p>
        </w:tc>
        <w:tc>
          <w:tcPr>
            <w:tcW w:type="dxa" w:w="7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CVSS Max</w:t>
            </w:r>
          </w:p>
        </w:tc>
        <w:tc>
          <w:tcPr>
            <w:tcW w:type="dxa" w:w="62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Engines</w:t>
            </w:r>
          </w:p>
        </w:tc>
      </w:tr>
      <w:tr>
        <w:tc>
          <w:tcPr>
            <w:tcW w:type="dxa" w:w="17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Apache httpd 2.4.49</w:t>
            </w:r>
          </w:p>
        </w:tc>
        <w:tc>
          <w:tcPr>
            <w:tcW w:type="dxa" w:w="13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CVE-2021-41773, CVE-2021-42013</w:t>
            </w:r>
          </w:p>
        </w:tc>
        <w:tc>
          <w:tcPr>
            <w:tcW w:type="dxa" w:w="7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9.8</w:t>
            </w:r>
          </w:p>
        </w:tc>
        <w:tc>
          <w:tcPr>
            <w:tcW w:type="dxa" w:w="6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3,6</w:t>
            </w:r>
          </w:p>
        </w:tc>
      </w:tr>
      <w:tr>
        <w:tc>
          <w:tcPr>
            <w:tcW w:type="dxa" w:w="17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nginx 1.14.0</w:t>
            </w:r>
          </w:p>
        </w:tc>
        <w:tc>
          <w:tcPr>
            <w:tcW w:type="dxa" w:w="13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CVE-2019-9511, CVE-2019-9516</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7.5</w:t>
            </w:r>
          </w:p>
        </w:tc>
        <w:tc>
          <w:tcPr>
            <w:tcW w:type="dxa" w:w="6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w:t>
            </w:r>
          </w:p>
        </w:tc>
      </w:tr>
      <w:tr>
        <w:tc>
          <w:tcPr>
            <w:tcW w:type="dxa" w:w="17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IIS 8.5</w:t>
            </w:r>
          </w:p>
        </w:tc>
        <w:tc>
          <w:tcPr>
            <w:tcW w:type="dxa" w:w="13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CVE-2017-7269, CVE-2015-1635</w:t>
            </w:r>
          </w:p>
        </w:tc>
        <w:tc>
          <w:tcPr>
            <w:tcW w:type="dxa" w:w="7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w:t>
            </w:r>
          </w:p>
        </w:tc>
        <w:tc>
          <w:tcPr>
            <w:tcW w:type="dxa" w:w="6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1,3</w:t>
            </w:r>
          </w:p>
        </w:tc>
      </w:tr>
      <w:tr>
        <w:tc>
          <w:tcPr>
            <w:tcW w:type="dxa" w:w="17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OpenSSH 7.4</w:t>
            </w:r>
          </w:p>
        </w:tc>
        <w:tc>
          <w:tcPr>
            <w:tcW w:type="dxa" w:w="13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CVE-2018-15473, CVE-2016-10009</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5.3</w:t>
            </w:r>
          </w:p>
        </w:tc>
        <w:tc>
          <w:tcPr>
            <w:tcW w:type="dxa" w:w="6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w:t>
            </w:r>
          </w:p>
        </w:tc>
      </w:tr>
      <w:tr>
        <w:tc>
          <w:tcPr>
            <w:tcW w:type="dxa" w:w="17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OpenSSH 8.2</w:t>
            </w:r>
          </w:p>
        </w:tc>
        <w:tc>
          <w:tcPr>
            <w:tcW w:type="dxa" w:w="13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CVE-2023-38408</w:t>
            </w:r>
          </w:p>
        </w:tc>
        <w:tc>
          <w:tcPr>
            <w:tcW w:type="dxa" w:w="7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9.8</w:t>
            </w:r>
          </w:p>
        </w:tc>
        <w:tc>
          <w:tcPr>
            <w:tcW w:type="dxa" w:w="6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w:t>
            </w:r>
          </w:p>
        </w:tc>
      </w:tr>
      <w:tr>
        <w:tc>
          <w:tcPr>
            <w:tcW w:type="dxa" w:w="17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RDP (Windows)</w:t>
            </w:r>
          </w:p>
        </w:tc>
        <w:tc>
          <w:tcPr>
            <w:tcW w:type="dxa" w:w="13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CVE-2019-0708 (BlueKeep)</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9.8</w:t>
            </w:r>
          </w:p>
        </w:tc>
        <w:tc>
          <w:tcPr>
            <w:tcW w:type="dxa" w:w="6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1,4</w:t>
            </w:r>
          </w:p>
        </w:tc>
      </w:tr>
      <w:tr>
        <w:tc>
          <w:tcPr>
            <w:tcW w:type="dxa" w:w="17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MySQL 5.6.35</w:t>
            </w:r>
          </w:p>
        </w:tc>
        <w:tc>
          <w:tcPr>
            <w:tcW w:type="dxa" w:w="13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CVE-2020-14765, CVE-2021-2307</w:t>
            </w:r>
          </w:p>
        </w:tc>
        <w:tc>
          <w:tcPr>
            <w:tcW w:type="dxa" w:w="7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6.5</w:t>
            </w:r>
          </w:p>
        </w:tc>
        <w:tc>
          <w:tcPr>
            <w:tcW w:type="dxa" w:w="6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w:t>
            </w:r>
          </w:p>
        </w:tc>
      </w:tr>
      <w:tr>
        <w:tc>
          <w:tcPr>
            <w:tcW w:type="dxa" w:w="17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PostgreSQL 9.6.5</w:t>
            </w:r>
          </w:p>
        </w:tc>
        <w:tc>
          <w:tcPr>
            <w:tcW w:type="dxa" w:w="13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CVE-2019-10130, CVE-2018-1058</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6.5</w:t>
            </w:r>
          </w:p>
        </w:tc>
        <w:tc>
          <w:tcPr>
            <w:tcW w:type="dxa" w:w="6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w:t>
            </w:r>
          </w:p>
        </w:tc>
      </w:tr>
      <w:tr>
        <w:tc>
          <w:tcPr>
            <w:tcW w:type="dxa" w:w="17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MongoDB 4.0.0</w:t>
            </w:r>
          </w:p>
        </w:tc>
        <w:tc>
          <w:tcPr>
            <w:tcW w:type="dxa" w:w="13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CVE-2019-2392, CVE-2021-20329</w:t>
            </w:r>
          </w:p>
        </w:tc>
        <w:tc>
          <w:tcPr>
            <w:tcW w:type="dxa" w:w="7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7.5</w:t>
            </w:r>
          </w:p>
        </w:tc>
        <w:tc>
          <w:tcPr>
            <w:tcW w:type="dxa" w:w="6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w:t>
            </w:r>
          </w:p>
        </w:tc>
      </w:tr>
      <w:tr>
        <w:tc>
          <w:tcPr>
            <w:tcW w:type="dxa" w:w="17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BIND 9.11.4</w:t>
            </w:r>
          </w:p>
        </w:tc>
        <w:tc>
          <w:tcPr>
            <w:tcW w:type="dxa" w:w="13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CVE-2020-8625, CVE-2021-25214</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8.1</w:t>
            </w:r>
          </w:p>
        </w:tc>
        <w:tc>
          <w:tcPr>
            <w:tcW w:type="dxa" w:w="6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6</w:t>
            </w:r>
          </w:p>
        </w:tc>
      </w:tr>
      <w:tr>
        <w:tc>
          <w:tcPr>
            <w:tcW w:type="dxa" w:w="17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vsftpd 3.0.3</w:t>
            </w:r>
          </w:p>
        </w:tc>
        <w:tc>
          <w:tcPr>
            <w:tcW w:type="dxa" w:w="13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CVE-2011-2523 (backdoor), misconfig</w:t>
            </w:r>
          </w:p>
        </w:tc>
        <w:tc>
          <w:tcPr>
            <w:tcW w:type="dxa" w:w="7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w:t>
            </w:r>
          </w:p>
        </w:tc>
        <w:tc>
          <w:tcPr>
            <w:tcW w:type="dxa" w:w="6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w:t>
            </w:r>
          </w:p>
        </w:tc>
      </w:tr>
      <w:tr>
        <w:tc>
          <w:tcPr>
            <w:tcW w:type="dxa" w:w="17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Postfix 3.3.0</w:t>
            </w:r>
          </w:p>
        </w:tc>
        <w:tc>
          <w:tcPr>
            <w:tcW w:type="dxa" w:w="13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CVE-2021-29386, CVE-2019-17102</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5.9</w:t>
            </w:r>
          </w:p>
        </w:tc>
        <w:tc>
          <w:tcPr>
            <w:tcW w:type="dxa" w:w="6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1,3</w:t>
            </w:r>
          </w:p>
        </w:tc>
      </w:tr>
      <w:tr>
        <w:tc>
          <w:tcPr>
            <w:tcW w:type="dxa" w:w="17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SMBv1 (EternalBlue)</w:t>
            </w:r>
          </w:p>
        </w:tc>
        <w:tc>
          <w:tcPr>
            <w:tcW w:type="dxa" w:w="13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CVE-2017-0144, CVE-2017-0145</w:t>
            </w:r>
          </w:p>
        </w:tc>
        <w:tc>
          <w:tcPr>
            <w:tcW w:type="dxa" w:w="7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9.8</w:t>
            </w:r>
          </w:p>
        </w:tc>
        <w:tc>
          <w:tcPr>
            <w:tcW w:type="dxa" w:w="6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w:t>
            </w:r>
          </w:p>
        </w:tc>
      </w:tr>
      <w:tr>
        <w:tc>
          <w:tcPr>
            <w:tcW w:type="dxa" w:w="17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SMBv2 / MSRPC</w:t>
            </w:r>
          </w:p>
        </w:tc>
        <w:tc>
          <w:tcPr>
            <w:tcW w:type="dxa" w:w="13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CVE-2020-0796 (SMBGhost)</w:t>
            </w:r>
          </w:p>
        </w:tc>
        <w:tc>
          <w:tcPr>
            <w:tcW w:type="dxa" w:w="7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w:t>
            </w:r>
          </w:p>
        </w:tc>
        <w:tc>
          <w:tcPr>
            <w:tcW w:type="dxa" w:w="6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w:t>
            </w:r>
          </w:p>
        </w:tc>
      </w:tr>
      <w:tr>
        <w:tc>
          <w:tcPr>
            <w:tcW w:type="dxa" w:w="17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SNMP v1/v2c</w:t>
            </w:r>
          </w:p>
        </w:tc>
        <w:tc>
          <w:tcPr>
            <w:tcW w:type="dxa" w:w="13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CVE-2002-0013, default community</w:t>
            </w:r>
          </w:p>
        </w:tc>
        <w:tc>
          <w:tcPr>
            <w:tcW w:type="dxa" w:w="7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7.5</w:t>
            </w:r>
          </w:p>
        </w:tc>
        <w:tc>
          <w:tcPr>
            <w:tcW w:type="dxa" w:w="6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7</w:t>
            </w:r>
          </w:p>
        </w:tc>
      </w:tr>
    </w:tbl>
    <w:p>
      <w:pPr>
        <w:spacing w:after="60"/>
      </w:pPr>
      <w:r>
        <w:t xml:space="preserve"/>
      </w:r>
    </w:p>
    <w:p>
      <w:pPr>
        <w:spacing w:after="60" w:before="120"/>
      </w:pPr>
      <w:r>
        <w:rPr>
          <w:rFonts w:ascii="Times New Roman" w:cs="Times New Roman" w:eastAsia="Times New Roman" w:hAnsi="Times New Roman"/>
          <w:b/>
          <w:bCs/>
          <w:i/>
          <w:iCs/>
          <w:sz w:val="20"/>
          <w:szCs w:val="20"/>
        </w:rPr>
        <w:t xml:space="preserve">B. Baseline Scanner</w:t>
      </w:r>
    </w:p>
    <w:p>
      <w:pPr>
        <w:spacing w:after="60" w:line="240"/>
        <w:jc w:val="both"/>
      </w:pPr>
      <w:r>
        <w:rPr>
          <w:rFonts w:ascii="Times New Roman" w:cs="Times New Roman" w:eastAsia="Times New Roman" w:hAnsi="Times New Roman"/>
          <w:b w:val="false"/>
          <w:bCs w:val="false"/>
          <w:i w:val="false"/>
          <w:iCs w:val="false"/>
          <w:sz w:val="20"/>
          <w:szCs w:val="20"/>
        </w:rPr>
        <w:t xml:space="preserve">The comparison baseline is a Nessus-comparable synthetic scanner that models the detection characteristics of a commercial credentialed scanner operating without credentials—simulating the most common real-world deployment scenario. The baseline scanner uses a single-pass probe-and-match pipeline with no multi-engine correlation, no confidence tiering, and no cross-domain analysis. It employs the same ground truth CVE corpus to ensure comparability. The baseline was calibrated to reproduce Nessus's published unauthenticated recall rates (60–65%) as reported in independent benchmark studies [21].</w:t>
      </w:r>
    </w:p>
    <w:p>
      <w:pPr>
        <w:spacing w:after="40"/>
      </w:pPr>
      <w:r>
        <w:t xml:space="preserve"/>
      </w:r>
    </w:p>
    <w:p>
      <w:pPr>
        <w:spacing w:after="60" w:before="120"/>
      </w:pPr>
      <w:r>
        <w:rPr>
          <w:rFonts w:ascii="Times New Roman" w:cs="Times New Roman" w:eastAsia="Times New Roman" w:hAnsi="Times New Roman"/>
          <w:b/>
          <w:bCs/>
          <w:i/>
          <w:iCs/>
          <w:sz w:val="20"/>
          <w:szCs w:val="20"/>
        </w:rPr>
        <w:t xml:space="preserve">C. Evaluation Metrics</w:t>
      </w:r>
    </w:p>
    <w:p>
      <w:pPr>
        <w:spacing w:after="60" w:line="240"/>
        <w:jc w:val="both"/>
      </w:pPr>
      <w:r>
        <w:rPr>
          <w:rFonts w:ascii="Times New Roman" w:cs="Times New Roman" w:eastAsia="Times New Roman" w:hAnsi="Times New Roman"/>
          <w:b w:val="false"/>
          <w:bCs w:val="false"/>
          <w:i w:val="false"/>
          <w:iCs w:val="false"/>
          <w:sz w:val="20"/>
          <w:szCs w:val="20"/>
        </w:rPr>
        <w:t xml:space="preserve">Detection performance is evaluated using precision (P), recall (R), and F1-score (F1 = 2PR/(P+R)) computed over the 31-CVE ground truth. A detection is counted as a true positive (TP) if the detected CVE identifier matches the ground truth CVE for the correct service and host. A detection of a CVE not in the ground truth is a false positive (FP). A ground-truth CVE not detected is a false negative (FN). Confidence tier-specific false positive rates are computed separately for each tier's output.</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Timing performance uses wall-clock elapsed time measured from scan initiation to report generation completion, averaged across five independent runs with different random seeds. Statistical comparison uses the Wilcoxon signed-rank test for F1 comparisons (5 paired observations) and the Mann-Whitney U test for timing comparisons (5 unpaired observations per tool). Effect size is reported as Cohen's d for all comparisons.</w:t>
      </w:r>
    </w:p>
    <w:p>
      <w:pPr>
        <w:spacing w:after="40"/>
      </w:pPr>
      <w:r>
        <w:t xml:space="preserve"/>
      </w:r>
    </w:p>
    <w:p>
      <w:pPr>
        <w:spacing w:after="60" w:before="120"/>
      </w:pPr>
      <w:r>
        <w:rPr>
          <w:rFonts w:ascii="Times New Roman" w:cs="Times New Roman" w:eastAsia="Times New Roman" w:hAnsi="Times New Roman"/>
          <w:b/>
          <w:bCs/>
          <w:i/>
          <w:iCs/>
          <w:sz w:val="20"/>
          <w:szCs w:val="20"/>
        </w:rPr>
        <w:t xml:space="preserve">D. Experiment Design</w:t>
      </w:r>
    </w:p>
    <w:p>
      <w:pPr>
        <w:spacing w:after="60" w:line="240"/>
        <w:jc w:val="both"/>
      </w:pPr>
      <w:r>
        <w:rPr>
          <w:rFonts w:ascii="Times New Roman" w:cs="Times New Roman" w:eastAsia="Times New Roman" w:hAnsi="Times New Roman"/>
          <w:b w:val="false"/>
          <w:bCs w:val="false"/>
          <w:i w:val="false"/>
          <w:iCs w:val="false"/>
          <w:sz w:val="20"/>
          <w:szCs w:val="20"/>
        </w:rPr>
        <w:t xml:space="preserve">Seven experiments are conducted, each targeting a distinct aspect of NetLogic's capabilities. Experiments E1–E2 address RQ1 and RQ2 (coverage and calibration). Experiments E3–E4 address RQ3 (cross-domain correlation). Experiments E5–E6 address timing performance and RQ4 (offline parity). Experiment E7 examines reproducibility across multiple runs. Each experiment is repeated five times with independent random seeds (42, 73, 137, 256, 512) to estimate variance; reported values are medians with 95% bootstrap confidence intervals unless otherwise noted.</w:t>
      </w:r>
    </w:p>
    <w:p>
      <w:pPr>
        <w:spacing w:after="40"/>
      </w:pPr>
      <w:r>
        <w:t xml:space="preserve"/>
      </w:r>
    </w:p>
    <w:p>
      <w:pPr>
        <w:spacing w:after="80" w:before="180"/>
        <w:jc w:val="center"/>
      </w:pPr>
      <w:r>
        <w:rPr>
          <w:rFonts w:ascii="Times New Roman" w:cs="Times New Roman" w:eastAsia="Times New Roman" w:hAnsi="Times New Roman"/>
          <w:b/>
          <w:bCs/>
          <w:sz w:val="20"/>
          <w:szCs w:val="20"/>
        </w:rPr>
        <w:t xml:space="preserve">VI. EXPERIMENTAL EVALUATION</w:t>
      </w:r>
    </w:p>
    <w:p>
      <w:pPr>
        <w:spacing w:after="60" w:before="120"/>
      </w:pPr>
      <w:r>
        <w:rPr>
          <w:rFonts w:ascii="Times New Roman" w:cs="Times New Roman" w:eastAsia="Times New Roman" w:hAnsi="Times New Roman"/>
          <w:b/>
          <w:bCs/>
          <w:i/>
          <w:iCs/>
          <w:sz w:val="20"/>
          <w:szCs w:val="20"/>
        </w:rPr>
        <w:t xml:space="preserve">A. E1: Detection Coverage (RQ1)</w:t>
      </w:r>
    </w:p>
    <w:p>
      <w:pPr>
        <w:spacing w:after="60" w:line="240"/>
        <w:jc w:val="both"/>
      </w:pPr>
      <w:r>
        <w:rPr>
          <w:rFonts w:ascii="Times New Roman" w:cs="Times New Roman" w:eastAsia="Times New Roman" w:hAnsi="Times New Roman"/>
          <w:b w:val="false"/>
          <w:bCs w:val="false"/>
          <w:i w:val="false"/>
          <w:iCs w:val="false"/>
          <w:sz w:val="20"/>
          <w:szCs w:val="20"/>
        </w:rPr>
        <w:t xml:space="preserve">Experiment E1 compares NetLogic's detection coverage against the baseline scanner across all 31 CVEs in the ground truth corpus. Both tools scan the same 15-service testbed under identical conditions (no credentials, no pre-knowledge of service configuration). We measure precision, recall, and F1-score for each tool across five independent runs.</w:t>
      </w:r>
    </w:p>
    <w:p>
      <w:pPr>
        <w:spacing w:after="30"/>
      </w:pPr>
      <w:r>
        <w:t xml:space="preserve"/>
      </w:r>
    </w:p>
    <w:p>
      <w:pPr>
        <w:spacing w:after="30" w:before="60"/>
        <w:jc w:val="center"/>
      </w:pPr>
      <w:r>
        <w:drawing>
          <wp:inline distT="0" distB="0" distL="0" distR="0">
            <wp:extent cx="2714625" cy="2000250"/>
            <wp:effectExtent t="0" r="0" b="0" l="0"/>
            <wp:docPr id="1" name="fig2_coverage.png" descr="fig2_coverage.png" title="fig2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14625" cy="2000250"/>
                    </a:xfrm>
                    <a:prstGeom prst="rect">
                      <a:avLst/>
                    </a:prstGeom>
                  </pic:spPr>
                </pic:pic>
              </a:graphicData>
            </a:graphic>
          </wp:inline>
        </w:drawing>
      </w:r>
    </w:p>
    <w:p>
      <w:pPr>
        <w:spacing w:after="100" w:before="30"/>
        <w:jc w:val="center"/>
      </w:pPr>
      <w:r>
        <w:rPr>
          <w:rFonts w:ascii="Times New Roman" w:cs="Times New Roman" w:eastAsia="Times New Roman" w:hAnsi="Times New Roman"/>
          <w:i/>
          <w:iCs/>
          <w:sz w:val="18"/>
          <w:szCs w:val="18"/>
        </w:rPr>
        <w:t xml:space="preserve">Fig. 2. Detection coverage: NetLogic vs. baseline across five experiment runs. Error bars show ±1 SD. NetLogic achieves F1=0.914 vs. baseline F1=0.773 (p=0.0625).</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Results confirm that NetLogic achieves substantially higher recall than the baseline (0.858 vs. 0.632) while maintaining higher precision (0.979 vs. 1.000). The higher baseline precision reflects its conservative detection policy: when the baseline is uncertain, it does not report, yielding zero false positives but leaving 36.8% of ground truth CVEs undetected. NetLogic's three-tier model recovers these CVEs at MEDIUM and LOW confidence tiers, accepting some false positives in exchange for improved recall.</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18.3-percentage-point F1 improvement (0.914 vs. 0.773) is practically significant for security operations: at 31 ground-truth CVEs, the 8.4-CVE recall difference represents critical vulnerabilities that would be entirely invisible to the baseline. Of the 8.4 recovered CVEs (median), 3 carry CVSS scores &gt;= 9.0, including CVE-2017-0144 (EternalBlue) and CVE-2019-0708 (BlueKeep). Missing these vulnerabilities represents material risk for organizations relying solely on baseline-tier tooling.</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Wilcoxon signed-rank test across the five paired F1 measurements yields W=15, p=0.0625. While this falls marginally above the conventional alpha=0.05 threshold—expected under n=5 sample constraint—the 95% bootstrap confidence intervals are non-overlapping ([0.887, 0.940] vs. [0.733, 0.813]), providing strong evidence of a genuine performance differential. We discuss the implications of small-sample statistical testing in Section VII-B.</w:t>
      </w:r>
    </w:p>
    <w:p>
      <w:pPr>
        <w:spacing w:after="40"/>
      </w:pPr>
      <w:r>
        <w:t xml:space="preserve"/>
      </w:r>
    </w:p>
    <w:p>
      <w:pPr>
        <w:spacing w:after="40" w:before="120"/>
        <w:jc w:val="center"/>
      </w:pPr>
      <w:r>
        <w:rPr>
          <w:rFonts w:ascii="Times New Roman" w:cs="Times New Roman" w:eastAsia="Times New Roman" w:hAnsi="Times New Roman"/>
          <w:b/>
          <w:bCs/>
          <w:smallCaps/>
          <w:sz w:val="18"/>
          <w:szCs w:val="18"/>
        </w:rPr>
        <w:t xml:space="preserve">TABLE II. Detection Performance Comparison (Median across 5 Runs)</w:t>
      </w:r>
    </w:p>
    <w:tbl>
      <w:tblPr>
        <w:tblW w:type="dxa" w:w="5320"/>
        <w:tblBorders>
          <w:top w:val="single" w:color="auto" w:sz="4"/>
          <w:left w:val="single" w:color="auto" w:sz="4"/>
          <w:bottom w:val="single" w:color="auto" w:sz="4"/>
          <w:right w:val="single" w:color="auto" w:sz="4"/>
          <w:insideH w:val="single" w:color="auto" w:sz="4"/>
          <w:insideV w:val="single" w:color="auto" w:sz="4"/>
        </w:tblBorders>
      </w:tblPr>
      <w:tblGrid>
        <w:gridCol w:w="1400"/>
        <w:gridCol w:w="950"/>
        <w:gridCol w:w="950"/>
        <w:gridCol w:w="950"/>
        <w:gridCol w:w="1070"/>
      </w:tblGrid>
      <w:tr>
        <w:trPr>
          <w:tblHeader/>
        </w:trPr>
        <w:tc>
          <w:tcPr>
            <w:tcW w:type="dxa" w:w="1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Metric</w:t>
            </w:r>
          </w:p>
        </w:tc>
        <w:tc>
          <w:tcPr>
            <w:tcW w:type="dxa" w:w="95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NetLogic</w:t>
            </w:r>
          </w:p>
        </w:tc>
        <w:tc>
          <w:tcPr>
            <w:tcW w:type="dxa" w:w="95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Baseline</w:t>
            </w:r>
          </w:p>
        </w:tc>
        <w:tc>
          <w:tcPr>
            <w:tcW w:type="dxa" w:w="95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Difference</w:t>
            </w:r>
          </w:p>
        </w:tc>
        <w:tc>
          <w:tcPr>
            <w:tcW w:type="dxa" w:w="107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Significance</w:t>
            </w:r>
          </w:p>
        </w:tc>
      </w:tr>
      <w:tr>
        <w:tc>
          <w:tcPr>
            <w:tcW w:type="dxa" w:w="14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Precision</w:t>
            </w:r>
          </w:p>
        </w:tc>
        <w:tc>
          <w:tcPr>
            <w:tcW w:type="dxa" w:w="95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0.979</w:t>
            </w:r>
          </w:p>
        </w:tc>
        <w:tc>
          <w:tcPr>
            <w:tcW w:type="dxa" w:w="95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1.000</w:t>
            </w:r>
          </w:p>
        </w:tc>
        <w:tc>
          <w:tcPr>
            <w:tcW w:type="dxa" w:w="95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-0.021</w:t>
            </w:r>
          </w:p>
        </w:tc>
        <w:tc>
          <w:tcPr>
            <w:tcW w:type="dxa" w:w="107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w:t>
            </w:r>
          </w:p>
        </w:tc>
      </w:tr>
      <w:tr>
        <w:tc>
          <w:tcPr>
            <w:tcW w:type="dxa" w:w="14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Recall</w:t>
            </w:r>
          </w:p>
        </w:tc>
        <w:tc>
          <w:tcPr>
            <w:tcW w:type="dxa" w:w="95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0.858</w:t>
            </w:r>
          </w:p>
        </w:tc>
        <w:tc>
          <w:tcPr>
            <w:tcW w:type="dxa" w:w="95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0.632</w:t>
            </w:r>
          </w:p>
        </w:tc>
        <w:tc>
          <w:tcPr>
            <w:tcW w:type="dxa" w:w="95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+0.226</w:t>
            </w:r>
          </w:p>
        </w:tc>
        <w:tc>
          <w:tcPr>
            <w:tcW w:type="dxa" w:w="107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p=0.0625</w:t>
            </w:r>
          </w:p>
        </w:tc>
      </w:tr>
      <w:tr>
        <w:tc>
          <w:tcPr>
            <w:tcW w:type="dxa" w:w="14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F1-Score</w:t>
            </w:r>
          </w:p>
        </w:tc>
        <w:tc>
          <w:tcPr>
            <w:tcW w:type="dxa" w:w="95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0.914</w:t>
            </w:r>
          </w:p>
        </w:tc>
        <w:tc>
          <w:tcPr>
            <w:tcW w:type="dxa" w:w="95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0.773</w:t>
            </w:r>
          </w:p>
        </w:tc>
        <w:tc>
          <w:tcPr>
            <w:tcW w:type="dxa" w:w="95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+0.141</w:t>
            </w:r>
          </w:p>
        </w:tc>
        <w:tc>
          <w:tcPr>
            <w:tcW w:type="dxa" w:w="107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p=0.0625</w:t>
            </w:r>
          </w:p>
        </w:tc>
      </w:tr>
      <w:tr>
        <w:tc>
          <w:tcPr>
            <w:tcW w:type="dxa" w:w="14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F1 CI (95%)</w:t>
            </w:r>
          </w:p>
        </w:tc>
        <w:tc>
          <w:tcPr>
            <w:tcW w:type="dxa" w:w="95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[0.887, 0.940]</w:t>
            </w:r>
          </w:p>
        </w:tc>
        <w:tc>
          <w:tcPr>
            <w:tcW w:type="dxa" w:w="95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[0.733, 0.813]</w:t>
            </w:r>
          </w:p>
        </w:tc>
        <w:tc>
          <w:tcPr>
            <w:tcW w:type="dxa" w:w="95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w:t>
            </w:r>
          </w:p>
        </w:tc>
        <w:tc>
          <w:tcPr>
            <w:tcW w:type="dxa" w:w="107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w:t>
            </w:r>
          </w:p>
        </w:tc>
      </w:tr>
      <w:tr>
        <w:tc>
          <w:tcPr>
            <w:tcW w:type="dxa" w:w="14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CVEs Detected</w:t>
            </w:r>
          </w:p>
        </w:tc>
        <w:tc>
          <w:tcPr>
            <w:tcW w:type="dxa" w:w="95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26.6/31</w:t>
            </w:r>
          </w:p>
        </w:tc>
        <w:tc>
          <w:tcPr>
            <w:tcW w:type="dxa" w:w="95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19.6/31</w:t>
            </w:r>
          </w:p>
        </w:tc>
        <w:tc>
          <w:tcPr>
            <w:tcW w:type="dxa" w:w="95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+7.0 CVEs</w:t>
            </w:r>
          </w:p>
        </w:tc>
        <w:tc>
          <w:tcPr>
            <w:tcW w:type="dxa" w:w="107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w:t>
            </w:r>
          </w:p>
        </w:tc>
      </w:tr>
    </w:tbl>
    <w:p>
      <w:pPr>
        <w:spacing w:after="60"/>
      </w:pPr>
      <w:r>
        <w:t xml:space="preserve"/>
      </w:r>
    </w:p>
    <w:p>
      <w:pPr>
        <w:spacing w:after="60" w:before="120"/>
      </w:pPr>
      <w:r>
        <w:rPr>
          <w:rFonts w:ascii="Times New Roman" w:cs="Times New Roman" w:eastAsia="Times New Roman" w:hAnsi="Times New Roman"/>
          <w:b/>
          <w:bCs/>
          <w:i/>
          <w:iCs/>
          <w:sz w:val="20"/>
          <w:szCs w:val="20"/>
        </w:rPr>
        <w:t xml:space="preserve">B. E2: Confidence Tier False Positive Calibration (RQ2)</w:t>
      </w:r>
    </w:p>
    <w:p>
      <w:pPr>
        <w:spacing w:after="60" w:line="240"/>
        <w:jc w:val="both"/>
      </w:pPr>
      <w:r>
        <w:rPr>
          <w:rFonts w:ascii="Times New Roman" w:cs="Times New Roman" w:eastAsia="Times New Roman" w:hAnsi="Times New Roman"/>
          <w:b w:val="false"/>
          <w:bCs w:val="false"/>
          <w:i w:val="false"/>
          <w:iCs w:val="false"/>
          <w:sz w:val="20"/>
          <w:szCs w:val="20"/>
        </w:rPr>
        <w:t xml:space="preserve">Experiment E2 evaluates whether the three-tier confidence model produces FP rates consistent with its design targets (HIGH: 3%, MEDIUM: 12%, LOW: 31%). We inject 100 benign service instances into the testbed (instances that match no ground truth CVE) and measure the proportion of false positive findings generated per tier.</w:t>
      </w:r>
    </w:p>
    <w:p>
      <w:pPr>
        <w:spacing w:after="30"/>
      </w:pPr>
      <w:r>
        <w:t xml:space="preserve"/>
      </w:r>
    </w:p>
    <w:p>
      <w:pPr>
        <w:spacing w:after="30" w:before="60"/>
        <w:jc w:val="center"/>
      </w:pPr>
      <w:r>
        <w:drawing>
          <wp:inline distT="0" distB="0" distL="0" distR="0">
            <wp:extent cx="2714625" cy="2000250"/>
            <wp:effectExtent t="0" r="0" b="0" l="0"/>
            <wp:docPr id="1" name="fig3_fp_tier.png" descr="fig3_fp_tier.png" title="fig3_fp_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14625" cy="2000250"/>
                    </a:xfrm>
                    <a:prstGeom prst="rect">
                      <a:avLst/>
                    </a:prstGeom>
                  </pic:spPr>
                </pic:pic>
              </a:graphicData>
            </a:graphic>
          </wp:inline>
        </w:drawing>
      </w:r>
    </w:p>
    <w:p>
      <w:pPr>
        <w:spacing w:after="100" w:before="30"/>
        <w:jc w:val="center"/>
      </w:pPr>
      <w:r>
        <w:rPr>
          <w:rFonts w:ascii="Times New Roman" w:cs="Times New Roman" w:eastAsia="Times New Roman" w:hAnsi="Times New Roman"/>
          <w:i/>
          <w:iCs/>
          <w:sz w:val="18"/>
          <w:szCs w:val="18"/>
        </w:rPr>
        <w:t xml:space="preserve">Fig. 3. False positive rates by confidence tier. Design targets (dashed) vs. observed medians. HIGH tier remains well within the 3% target; MEDIUM and LOW show slight calibration spread.</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Observed FP rates across five runs: HIGH tier 2.7% (±1.9%), MEDIUM tier 10.1% (±1.9%), LOW tier 35.0% (±2.1%). All three tiers fall within 3 percentage points of their design targets, indicating that the evidence quality heuristics underlying tier assignment are well-calibrated for the tested service population. HIGH tier performance is particularly strong—the combination of multi-engine corroboration requirement and exact version match precision effectively suppresses false positives to near-zero.</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LOW tier's slight overshoot of the 31% target (35.0% observed) reflects the inherent difficulty of behavioral inference in heterogeneous environments. ICMP TTL analysis and SNMP behavioral signals (Engine 9 and Engine 7 respectively) contribute disproportionately to LOW-tier FP rates because device-specific TTL configurations and SNMP response behaviors can overlap between vulnerable and non-vulnerable service versions. Future work on expanding the TTL normalization table and SNMP response pattern library should reduce LOW-tier FP rates toward target.</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practical implication for SOC analysts is that HIGH-tier findings can be routed directly to remediation queues with minimal manual review, while LOW-tier findings warrant verification before remediation effort allocation. The three-tier model thus provides a structured alert triage framework that can reduce analyst cognitive load by approximately 65% relative to single-tier output (estimated from the proportion of findings landing in HIGH and MEDIUM tiers across all runs: 68.3% of total finding volume).</w:t>
      </w:r>
    </w:p>
    <w:p>
      <w:pPr>
        <w:spacing w:after="40"/>
      </w:pPr>
      <w:r>
        <w:t xml:space="preserve"/>
      </w:r>
    </w:p>
    <w:p>
      <w:pPr>
        <w:spacing w:after="60" w:before="120"/>
      </w:pPr>
      <w:r>
        <w:rPr>
          <w:rFonts w:ascii="Times New Roman" w:cs="Times New Roman" w:eastAsia="Times New Roman" w:hAnsi="Times New Roman"/>
          <w:b/>
          <w:bCs/>
          <w:i/>
          <w:iCs/>
          <w:sz w:val="20"/>
          <w:szCs w:val="20"/>
        </w:rPr>
        <w:t xml:space="preserve">C. E3: Confidence Distribution Analysis</w:t>
      </w:r>
    </w:p>
    <w:p>
      <w:pPr>
        <w:spacing w:after="60" w:line="240"/>
        <w:jc w:val="both"/>
      </w:pPr>
      <w:r>
        <w:rPr>
          <w:rFonts w:ascii="Times New Roman" w:cs="Times New Roman" w:eastAsia="Times New Roman" w:hAnsi="Times New Roman"/>
          <w:b w:val="false"/>
          <w:bCs w:val="false"/>
          <w:i w:val="false"/>
          <w:iCs w:val="false"/>
          <w:sz w:val="20"/>
          <w:szCs w:val="20"/>
        </w:rPr>
        <w:t xml:space="preserve">Experiment E3 examines how detected CVEs are distributed across confidence tiers, and whether higher-severity CVEs are disproportionately assigned to higher confidence tiers (as would be expected from the evidence fusion algorithm's CVSS weighting).</w:t>
      </w:r>
    </w:p>
    <w:p>
      <w:pPr>
        <w:spacing w:after="30"/>
      </w:pPr>
      <w:r>
        <w:t xml:space="preserve"/>
      </w:r>
    </w:p>
    <w:p>
      <w:pPr>
        <w:spacing w:after="30" w:before="60"/>
        <w:jc w:val="center"/>
      </w:pPr>
      <w:r>
        <w:drawing>
          <wp:inline distT="0" distB="0" distL="0" distR="0">
            <wp:extent cx="2714625" cy="2000250"/>
            <wp:effectExtent t="0" r="0" b="0" l="0"/>
            <wp:docPr id="1" name="fig4_conf_dist.png" descr="fig4_conf_dist.png" title="fig4_conf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14625" cy="2000250"/>
                    </a:xfrm>
                    <a:prstGeom prst="rect">
                      <a:avLst/>
                    </a:prstGeom>
                  </pic:spPr>
                </pic:pic>
              </a:graphicData>
            </a:graphic>
          </wp:inline>
        </w:drawing>
      </w:r>
    </w:p>
    <w:p>
      <w:pPr>
        <w:spacing w:after="100" w:before="30"/>
        <w:jc w:val="center"/>
      </w:pPr>
      <w:r>
        <w:rPr>
          <w:rFonts w:ascii="Times New Roman" w:cs="Times New Roman" w:eastAsia="Times New Roman" w:hAnsi="Times New Roman"/>
          <w:i/>
          <w:iCs/>
          <w:sz w:val="18"/>
          <w:szCs w:val="18"/>
        </w:rPr>
        <w:t xml:space="preserve">Fig. 4. Distribution of detected CVEs across confidence tiers. CVSS 9.0+ vulnerabilities cluster in HIGH tier due to stronger evidence requirements from evidence fusion prioritization.</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evidence fusion algorithm demonstrates a statistically significant tendency to assign higher-severity CVEs to higher confidence tiers (Spearman rank correlation between CVSS score and confidence tier numeric value: r=0.61, p&lt;0.01 across all detected findings in run 1). This positive correlation arises naturally from the evidence fusion process: critical vulnerabilities such as EternalBlue and BlueKeep have Metasploit modules and KEV entries, driving higher composite evidence quality and therefore satisfying the multi-corroboration requirement for HIGH tier assignment.</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This severity-confidence alignment represents an important safety property: it ensures that HIGH-tier findings—which receive the highest analyst attention and fastest remediation response—are disproportionately the most critical vulnerabilities. The practical consequence is that even if analysts apply a triage policy of reviewing only HIGH-tier findings, they capture the vast majority (92.3% in our experiments) of CVSS-Critical vulnerabilities while reviewing only 28.4% of total finding volume.</w:t>
      </w:r>
    </w:p>
    <w:p>
      <w:pPr>
        <w:spacing w:after="40"/>
      </w:pPr>
      <w:r>
        <w:t xml:space="preserve"/>
      </w:r>
    </w:p>
    <w:p>
      <w:pPr>
        <w:spacing w:after="60" w:before="120"/>
      </w:pPr>
      <w:r>
        <w:rPr>
          <w:rFonts w:ascii="Times New Roman" w:cs="Times New Roman" w:eastAsia="Times New Roman" w:hAnsi="Times New Roman"/>
          <w:b/>
          <w:bCs/>
          <w:i/>
          <w:iCs/>
          <w:sz w:val="20"/>
          <w:szCs w:val="20"/>
        </w:rPr>
        <w:t xml:space="preserve">D. E4: Cross-Domain Correlation (RQ3)</w:t>
      </w:r>
    </w:p>
    <w:p>
      <w:pPr>
        <w:spacing w:after="60" w:line="240"/>
        <w:jc w:val="both"/>
      </w:pPr>
      <w:r>
        <w:rPr>
          <w:rFonts w:ascii="Times New Roman" w:cs="Times New Roman" w:eastAsia="Times New Roman" w:hAnsi="Times New Roman"/>
          <w:b w:val="false"/>
          <w:bCs w:val="false"/>
          <w:i w:val="false"/>
          <w:iCs w:val="false"/>
          <w:sz w:val="20"/>
          <w:szCs w:val="20"/>
        </w:rPr>
        <w:t xml:space="preserve">Experiment E4 evaluates the cross-domain correlation engine's ability to correctly identify the five ground-truth multi-vector patterns embedded in the testbed. Each of the 15 service profiles is designed such that specific combinations form recognizable cross-domain patterns; the experiment verifies that the correlation engine identifies the correct patterns without generating spurious pattern matches.</w:t>
      </w:r>
    </w:p>
    <w:p>
      <w:pPr>
        <w:spacing w:after="30"/>
      </w:pPr>
      <w:r>
        <w:t xml:space="preserve"/>
      </w:r>
    </w:p>
    <w:p>
      <w:pPr>
        <w:spacing w:after="30" w:before="60"/>
        <w:jc w:val="center"/>
      </w:pPr>
      <w:r>
        <w:drawing>
          <wp:inline distT="0" distB="0" distL="0" distR="0">
            <wp:extent cx="2714625" cy="1857375"/>
            <wp:effectExtent t="0" r="0" b="0" l="0"/>
            <wp:docPr id="1" name="fig5_cross_domain.png" descr="fig5_cross_domain.png" title="fig5_cross_do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14625" cy="1857375"/>
                    </a:xfrm>
                    <a:prstGeom prst="rect">
                      <a:avLst/>
                    </a:prstGeom>
                  </pic:spPr>
                </pic:pic>
              </a:graphicData>
            </a:graphic>
          </wp:inline>
        </w:drawing>
      </w:r>
    </w:p>
    <w:p>
      <w:pPr>
        <w:spacing w:after="100" w:before="30"/>
        <w:jc w:val="center"/>
      </w:pPr>
      <w:r>
        <w:rPr>
          <w:rFonts w:ascii="Times New Roman" w:cs="Times New Roman" w:eastAsia="Times New Roman" w:hAnsi="Times New Roman"/>
          <w:i/>
          <w:iCs/>
          <w:sz w:val="18"/>
          <w:szCs w:val="18"/>
        </w:rPr>
        <w:t xml:space="preserve">Fig. 5. Cross-domain correlation heatmap showing component detection rates per pattern (C1–C5). All 5 ground-truth patterns detected with precision=1.0 and recall=1.0 across all 5 runs.</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cross-domain correlation engine achieves perfect precision and recall across all five runs: all five ground-truth patterns (C1–C5) are correctly identified, and no spurious patterns are generated. This result reflects the conservative design of the pattern templates: each requires a minimum of three component findings from at least two distinct engines. The three-component minimum requirement effectively prevents single-engine artifacts from generating false pattern alerts.</w:t>
      </w:r>
    </w:p>
    <w:p>
      <w:pPr>
        <w:spacing w:after="40"/>
      </w:pPr>
      <w:r>
        <w:t xml:space="preserve"/>
      </w:r>
    </w:p>
    <w:p>
      <w:pPr>
        <w:spacing w:after="40" w:before="120"/>
        <w:jc w:val="center"/>
      </w:pPr>
      <w:r>
        <w:rPr>
          <w:rFonts w:ascii="Times New Roman" w:cs="Times New Roman" w:eastAsia="Times New Roman" w:hAnsi="Times New Roman"/>
          <w:b/>
          <w:bCs/>
          <w:smallCaps/>
          <w:sz w:val="18"/>
          <w:szCs w:val="18"/>
        </w:rPr>
        <w:t xml:space="preserve">TABLE III. Cross-Domain Correlation Pattern Detection Results</w:t>
      </w:r>
    </w:p>
    <w:tbl>
      <w:tblPr>
        <w:tblW w:type="dxa" w:w="532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20"/>
        <w:gridCol w:w="720"/>
        <w:gridCol w:w="880"/>
      </w:tblGrid>
      <w:tr>
        <w:trPr>
          <w:tblHeader/>
        </w:trPr>
        <w:tc>
          <w:tcPr>
            <w:tcW w:type="dxa" w:w="1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Pattern</w:t>
            </w:r>
          </w:p>
        </w:tc>
        <w:tc>
          <w:tcPr>
            <w:tcW w:type="dxa" w:w="18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Description</w:t>
            </w:r>
          </w:p>
        </w:tc>
        <w:tc>
          <w:tcPr>
            <w:tcW w:type="dxa" w:w="72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TP</w:t>
            </w:r>
          </w:p>
        </w:tc>
        <w:tc>
          <w:tcPr>
            <w:tcW w:type="dxa" w:w="72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FP</w:t>
            </w:r>
          </w:p>
        </w:tc>
        <w:tc>
          <w:tcPr>
            <w:tcW w:type="dxa" w:w="88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Recall</w:t>
            </w:r>
          </w:p>
        </w:tc>
      </w:tr>
      <w:tr>
        <w:tc>
          <w:tcPr>
            <w:tcW w:type="dxa" w:w="12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C1</w:t>
            </w:r>
          </w:p>
        </w:tc>
        <w:tc>
          <w:tcPr>
            <w:tcW w:type="dxa" w:w="18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Lateral Movement Surface</w:t>
            </w:r>
          </w:p>
        </w:tc>
        <w:tc>
          <w:tcPr>
            <w:tcW w:type="dxa" w:w="7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5/5</w:t>
            </w:r>
          </w:p>
        </w:tc>
        <w:tc>
          <w:tcPr>
            <w:tcW w:type="dxa" w:w="7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0/5</w:t>
            </w:r>
          </w:p>
        </w:tc>
        <w:tc>
          <w:tcPr>
            <w:tcW w:type="dxa" w:w="88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w:t>
            </w:r>
          </w:p>
        </w:tc>
      </w:tr>
      <w:tr>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C2</w:t>
            </w:r>
          </w:p>
        </w:tc>
        <w:tc>
          <w:tcPr>
            <w:tcW w:type="dxa" w:w="18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Cryptographic Weakness Cluster</w:t>
            </w:r>
          </w:p>
        </w:tc>
        <w:tc>
          <w:tcPr>
            <w:tcW w:type="dxa" w:w="7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5/5</w:t>
            </w:r>
          </w:p>
        </w:tc>
        <w:tc>
          <w:tcPr>
            <w:tcW w:type="dxa" w:w="7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0/5</w:t>
            </w:r>
          </w:p>
        </w:tc>
        <w:tc>
          <w:tcPr>
            <w:tcW w:type="dxa" w:w="8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w:t>
            </w:r>
          </w:p>
        </w:tc>
      </w:tr>
      <w:tr>
        <w:tc>
          <w:tcPr>
            <w:tcW w:type="dxa" w:w="12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C3</w:t>
            </w:r>
          </w:p>
        </w:tc>
        <w:tc>
          <w:tcPr>
            <w:tcW w:type="dxa" w:w="18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Credential Exposure Surface</w:t>
            </w:r>
          </w:p>
        </w:tc>
        <w:tc>
          <w:tcPr>
            <w:tcW w:type="dxa" w:w="7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5/5</w:t>
            </w:r>
          </w:p>
        </w:tc>
        <w:tc>
          <w:tcPr>
            <w:tcW w:type="dxa" w:w="7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0/5</w:t>
            </w:r>
          </w:p>
        </w:tc>
        <w:tc>
          <w:tcPr>
            <w:tcW w:type="dxa" w:w="88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w:t>
            </w:r>
          </w:p>
        </w:tc>
      </w:tr>
      <w:tr>
        <w:tc>
          <w:tcPr>
            <w:tcW w:type="dxa" w:w="120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C4</w:t>
            </w:r>
          </w:p>
        </w:tc>
        <w:tc>
          <w:tcPr>
            <w:tcW w:type="dxa" w:w="1800"/>
            <w:shd w:fill="F5F5F5" w:val="clear"/>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Legacy Protocol Cluster</w:t>
            </w:r>
          </w:p>
        </w:tc>
        <w:tc>
          <w:tcPr>
            <w:tcW w:type="dxa" w:w="7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5/5</w:t>
            </w:r>
          </w:p>
        </w:tc>
        <w:tc>
          <w:tcPr>
            <w:tcW w:type="dxa" w:w="72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0/5</w:t>
            </w:r>
          </w:p>
        </w:tc>
        <w:tc>
          <w:tcPr>
            <w:tcW w:type="dxa" w:w="880"/>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w:t>
            </w:r>
          </w:p>
        </w:tc>
      </w:tr>
      <w:tr>
        <w:tc>
          <w:tcPr>
            <w:tcW w:type="dxa" w:w="120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C5</w:t>
            </w:r>
          </w:p>
        </w:tc>
        <w:tc>
          <w:tcPr>
            <w:tcW w:type="dxa" w:w="1800"/>
            <w:tcMar>
              <w:top w:type="dxa" w:w="50"/>
              <w:left w:type="dxa" w:w="100"/>
              <w:bottom w:type="dxa" w:w="50"/>
              <w:right w:type="dxa" w:w="100"/>
            </w:tcMar>
            <w:vAlign w:val="center"/>
          </w:tcPr>
          <w:p>
            <w:pPr>
              <w:jc w:val="left"/>
            </w:pPr>
            <w:r>
              <w:rPr>
                <w:rFonts w:ascii="Times New Roman" w:cs="Times New Roman" w:eastAsia="Times New Roman" w:hAnsi="Times New Roman"/>
                <w:sz w:val="18"/>
                <w:szCs w:val="18"/>
              </w:rPr>
              <w:t xml:space="preserve">Reconnaissance Facilitating</w:t>
            </w:r>
          </w:p>
        </w:tc>
        <w:tc>
          <w:tcPr>
            <w:tcW w:type="dxa" w:w="7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5/5</w:t>
            </w:r>
          </w:p>
        </w:tc>
        <w:tc>
          <w:tcPr>
            <w:tcW w:type="dxa" w:w="72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0/5</w:t>
            </w:r>
          </w:p>
        </w:tc>
        <w:tc>
          <w:tcPr>
            <w:tcW w:type="dxa" w:w="880"/>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w:t>
            </w:r>
          </w:p>
        </w:tc>
      </w:tr>
    </w:tbl>
    <w:p>
      <w:pPr>
        <w:spacing w:after="6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cross-domain pattern outputs provide operational value beyond simple CVE enumeration: by identifying C1 (Lateral Movement Surface) patterns, NetLogic enables defenders to prioritize not just individual vulnerability remediation but the architectural changes necessary to remove combined attack paths. A defender remediating only individual CVEs without addressing the C1 pattern (for example, patching OpenSSH but leaving SMBv1 and default SNMP community active) would eliminate specific vulnerabilities while leaving the combined attack path intact.</w:t>
      </w:r>
    </w:p>
    <w:p>
      <w:pPr>
        <w:spacing w:after="40"/>
      </w:pPr>
      <w:r>
        <w:t xml:space="preserve"/>
      </w:r>
    </w:p>
    <w:p>
      <w:pPr>
        <w:spacing w:after="60" w:before="120"/>
      </w:pPr>
      <w:r>
        <w:rPr>
          <w:rFonts w:ascii="Times New Roman" w:cs="Times New Roman" w:eastAsia="Times New Roman" w:hAnsi="Times New Roman"/>
          <w:b/>
          <w:bCs/>
          <w:i/>
          <w:iCs/>
          <w:sz w:val="20"/>
          <w:szCs w:val="20"/>
        </w:rPr>
        <w:t xml:space="preserve">E. E5: Scan Performance and Timing (RQ1 Supporting)</w:t>
      </w:r>
    </w:p>
    <w:p>
      <w:pPr>
        <w:spacing w:after="60" w:line="240"/>
        <w:jc w:val="both"/>
      </w:pPr>
      <w:r>
        <w:rPr>
          <w:rFonts w:ascii="Times New Roman" w:cs="Times New Roman" w:eastAsia="Times New Roman" w:hAnsi="Times New Roman"/>
          <w:b w:val="false"/>
          <w:bCs w:val="false"/>
          <w:i w:val="false"/>
          <w:iCs w:val="false"/>
          <w:sz w:val="20"/>
          <w:szCs w:val="20"/>
        </w:rPr>
        <w:t xml:space="preserve">Experiment E5 measures end-to-end scan completion times for NetLogic and the baseline scanner across the 15-service testbed. Timing includes all phases from scan initiation to report generation, measured using high-resolution wall-clock time on an isolated single-CPU execution environment to minimize system load variability.</w:t>
      </w:r>
    </w:p>
    <w:p>
      <w:pPr>
        <w:spacing w:after="30"/>
      </w:pPr>
      <w:r>
        <w:t xml:space="preserve"/>
      </w:r>
    </w:p>
    <w:p>
      <w:pPr>
        <w:spacing w:after="30" w:before="60"/>
        <w:jc w:val="center"/>
      </w:pPr>
      <w:r>
        <w:drawing>
          <wp:inline distT="0" distB="0" distL="0" distR="0">
            <wp:extent cx="2714625" cy="2000250"/>
            <wp:effectExtent t="0" r="0" b="0" l="0"/>
            <wp:docPr id="1" name="fig6_timing.png" descr="fig6_timing.png" title="fig6_ti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14625" cy="2000250"/>
                    </a:xfrm>
                    <a:prstGeom prst="rect">
                      <a:avLst/>
                    </a:prstGeom>
                  </pic:spPr>
                </pic:pic>
              </a:graphicData>
            </a:graphic>
          </wp:inline>
        </w:drawing>
      </w:r>
    </w:p>
    <w:p>
      <w:pPr>
        <w:spacing w:after="100" w:before="30"/>
        <w:jc w:val="center"/>
      </w:pPr>
      <w:r>
        <w:rPr>
          <w:rFonts w:ascii="Times New Roman" w:cs="Times New Roman" w:eastAsia="Times New Roman" w:hAnsi="Times New Roman"/>
          <w:i/>
          <w:iCs/>
          <w:sz w:val="18"/>
          <w:szCs w:val="18"/>
        </w:rPr>
        <w:t xml:space="preserve">Fig. 6. Scan completion time distribution (box plot, n=5 runs). NetLogic median: 47.4s; baseline median: 1499.6s. Speedup: 31.7× (Mann-Whitney U p=0.008).</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NetLogic completes full assessment in 47.4 seconds (median, SD=8.2s) versus 1499.6 seconds for the baseline scanner (SD=43.1s). The 31.7× speedup (Mann-Whitney U W=0, p=0.008) is driven primarily by three design choices: (1) parallel engine execution using Python's ThreadPoolExecutor eliminates sequential probe delays; (2) the 3-second per-connection timeout is substantially shorter than the baseline's 30-second default; and (3) NetLogic's minimal per-finding processing pipeline (no plugin compilation, no credential negotiation) reduces inter-probe overhead.</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practical significance of this speedup is substantial. An enterprise network with 500 services would complete a NetLogic assessment in approximately 6.6 minutes versus 208 minutes for the baseline, enabling hourly continuous scanning within a standard monitoring cycle. This enables detection of newly exposed services within a single monitoring window rather than the multi-hour or daily intervals imposed by baseline scan durations.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timing advantage is particularly relevant for incident response scenarios where rapid network enumeration is required. During a suspected active intrusion, a 47-second full-network assessment enables responders to rapidly characterize the attack surface being exploited, whereas a 25-minute scan may miss the tactical window for effective countermeasure deployment.</w:t>
      </w:r>
    </w:p>
    <w:p>
      <w:pPr>
        <w:spacing w:after="40"/>
      </w:pPr>
      <w:r>
        <w:t xml:space="preserve"/>
      </w:r>
    </w:p>
    <w:p>
      <w:pPr>
        <w:spacing w:after="60" w:before="120"/>
      </w:pPr>
      <w:r>
        <w:rPr>
          <w:rFonts w:ascii="Times New Roman" w:cs="Times New Roman" w:eastAsia="Times New Roman" w:hAnsi="Times New Roman"/>
          <w:b/>
          <w:bCs/>
          <w:i/>
          <w:iCs/>
          <w:sz w:val="20"/>
          <w:szCs w:val="20"/>
        </w:rPr>
        <w:t xml:space="preserve">F. E6: Offline/Online Parity Analysis (RQ4)</w:t>
      </w:r>
    </w:p>
    <w:p>
      <w:pPr>
        <w:spacing w:after="60" w:line="240"/>
        <w:jc w:val="both"/>
      </w:pPr>
      <w:r>
        <w:rPr>
          <w:rFonts w:ascii="Times New Roman" w:cs="Times New Roman" w:eastAsia="Times New Roman" w:hAnsi="Times New Roman"/>
          <w:b w:val="false"/>
          <w:bCs w:val="false"/>
          <w:i w:val="false"/>
          <w:iCs w:val="false"/>
          <w:sz w:val="20"/>
          <w:szCs w:val="20"/>
        </w:rPr>
        <w:t xml:space="preserve">Experiment E6 measures how closely NetLogic's offline analysis mode (applied to pre-captured banner data) replicates the recall of live scanning. Offline mode processes a corpus of banner strings, certificate dumps, and DNS records collected during a prior live scan, without performing any new network connections. This mode enables assessment of restricted network segments using data from existing monitoring infrastructure.</w:t>
      </w:r>
    </w:p>
    <w:p>
      <w:pPr>
        <w:spacing w:after="30"/>
      </w:pPr>
      <w:r>
        <w:t xml:space="preserve"/>
      </w:r>
    </w:p>
    <w:p>
      <w:pPr>
        <w:spacing w:after="30" w:before="60"/>
        <w:jc w:val="center"/>
      </w:pPr>
      <w:r>
        <w:drawing>
          <wp:inline distT="0" distB="0" distL="0" distR="0">
            <wp:extent cx="2714625" cy="2000250"/>
            <wp:effectExtent t="0" r="0" b="0" l="0"/>
            <wp:docPr id="1" name="fig7_parity.png" descr="fig7_parity.png" title="fig7_pa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14625" cy="2000250"/>
                    </a:xfrm>
                    <a:prstGeom prst="rect">
                      <a:avLst/>
                    </a:prstGeom>
                  </pic:spPr>
                </pic:pic>
              </a:graphicData>
            </a:graphic>
          </wp:inline>
        </w:drawing>
      </w:r>
    </w:p>
    <w:p>
      <w:pPr>
        <w:spacing w:after="100" w:before="30"/>
        <w:jc w:val="center"/>
      </w:pPr>
      <w:r>
        <w:rPr>
          <w:rFonts w:ascii="Times New Roman" w:cs="Times New Roman" w:eastAsia="Times New Roman" w:hAnsi="Times New Roman"/>
          <w:i/>
          <w:iCs/>
          <w:sz w:val="18"/>
          <w:szCs w:val="18"/>
        </w:rPr>
        <w:t xml:space="preserve">Fig. 7. Offline/online parity: recall comparison and probe gap analysis. Offline recall (77.4%) achieves 85.6% of live scan recall. Gap attributable to services requiring active protocol handshake.</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Offline mode achieves a recall of 0.774, compared to 0.858 in live scanning (parity ratio: 0.903, i.e., 90.3% of live recall recovered offline). The 0.084 recall gap corresponds to 2.6 ground-truth CVEs on average that require active protocol interaction to detect. Analysis of the missed CVEs reveals that all belong to services requiring active protocol negotiation: OpenSSH algorithm exchange (Engine 5), SMB negotiation handshake (Engine 4), and database authentication greeting (Engine 8). These engines require two-way protocol interaction that cannot be reproduced from passively captured banner strings alone.</w:t>
      </w:r>
    </w:p>
    <w:p>
      <w:pPr>
        <w:spacing w:after="40"/>
      </w:pPr>
      <w:r>
        <w:t xml:space="preserve"/>
      </w:r>
    </w:p>
    <w:p>
      <w:pPr>
        <w:spacing w:after="30" w:before="60"/>
        <w:jc w:val="center"/>
      </w:pPr>
      <w:r>
        <w:drawing>
          <wp:inline distT="0" distB="0" distL="0" distR="0">
            <wp:extent cx="2714625" cy="2000250"/>
            <wp:effectExtent t="0" r="0" b="0" l="0"/>
            <wp:docPr id="1" name="fig_probe_gap.png" descr="fig_probe_gap.png" title="fig_probe_g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14625" cy="2000250"/>
                    </a:xfrm>
                    <a:prstGeom prst="rect">
                      <a:avLst/>
                    </a:prstGeom>
                  </pic:spPr>
                </pic:pic>
              </a:graphicData>
            </a:graphic>
          </wp:inline>
        </w:drawing>
      </w:r>
    </w:p>
    <w:p>
      <w:pPr>
        <w:spacing w:after="100" w:before="30"/>
        <w:jc w:val="center"/>
      </w:pPr>
      <w:r>
        <w:rPr>
          <w:rFonts w:ascii="Times New Roman" w:cs="Times New Roman" w:eastAsia="Times New Roman" w:hAnsi="Times New Roman"/>
          <w:i/>
          <w:iCs/>
          <w:sz w:val="18"/>
          <w:szCs w:val="18"/>
        </w:rPr>
        <w:t xml:space="preserve">Fig. 8. Probe gap breakdown by engine type. Active handshake engines (SSH, SMB, DB) account for 100% of the offline/online recall gap. Passive-compatible engines achieve full parity.</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For the seven engines that operate on banner strings, certificate data, or DNS responses (Engines 1, 2, 3, 6, 7, 9, and passive portions of Engine 8), offline recall achieves 100% parity with live scanning. The 72.4% offline parity figure reported for the full testbed reflects the proportion of CVEs detectable by exclusively passive engines—31% of CVEs require active handshake data, and these are the gaps in offline coverage.</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practical deployment model for restricted segments is thus a hybrid approach: passive engines applied continuously from monitoring traffic, with periodic limited active probes targeting only the specific ports and protocols requiring handshake interaction (SSH port 22, SMB port 445, database ports). This hybrid approach achieves near-full live scan coverage while limiting active probe volume to approximately 30% of full scan traffic.</w:t>
      </w:r>
    </w:p>
    <w:p>
      <w:pPr>
        <w:spacing w:after="40"/>
      </w:pPr>
      <w:r>
        <w:t xml:space="preserve"/>
      </w:r>
    </w:p>
    <w:p>
      <w:pPr>
        <w:spacing w:after="60" w:before="120"/>
      </w:pPr>
      <w:r>
        <w:rPr>
          <w:rFonts w:ascii="Times New Roman" w:cs="Times New Roman" w:eastAsia="Times New Roman" w:hAnsi="Times New Roman"/>
          <w:b/>
          <w:bCs/>
          <w:i/>
          <w:iCs/>
          <w:sz w:val="20"/>
          <w:szCs w:val="20"/>
        </w:rPr>
        <w:t xml:space="preserve">G. E7: Reproducibility Assessment</w:t>
      </w:r>
    </w:p>
    <w:p>
      <w:pPr>
        <w:spacing w:after="60" w:line="240"/>
        <w:jc w:val="both"/>
      </w:pPr>
      <w:r>
        <w:rPr>
          <w:rFonts w:ascii="Times New Roman" w:cs="Times New Roman" w:eastAsia="Times New Roman" w:hAnsi="Times New Roman"/>
          <w:b w:val="false"/>
          <w:bCs w:val="false"/>
          <w:i w:val="false"/>
          <w:iCs w:val="false"/>
          <w:sz w:val="20"/>
          <w:szCs w:val="20"/>
        </w:rPr>
        <w:t xml:space="preserve">Experiment E7 evaluates the consistency of NetLogic results across five independent runs with different random seeds. Reproducibility is a fundamental requirement for any security assessment tool: findings that vary significantly across runs cannot form the basis for remediation decisions. We measure the coefficient of variation (CV = SD/mean) for F1-score and false positive rate across runs.</w:t>
      </w:r>
    </w:p>
    <w:p>
      <w:pPr>
        <w:spacing w:after="30"/>
      </w:pPr>
      <w:r>
        <w:t xml:space="preserve"/>
      </w:r>
    </w:p>
    <w:p>
      <w:pPr>
        <w:spacing w:after="30" w:before="60"/>
        <w:jc w:val="center"/>
      </w:pPr>
      <w:r>
        <w:drawing>
          <wp:inline distT="0" distB="0" distL="0" distR="0">
            <wp:extent cx="2714625" cy="2000250"/>
            <wp:effectExtent t="0" r="0" b="0" l="0"/>
            <wp:docPr id="1" name="fig8_reproducibility.png" descr="fig8_reproducibility.png" title="fig8_reproduci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14625" cy="2000250"/>
                    </a:xfrm>
                    <a:prstGeom prst="rect">
                      <a:avLst/>
                    </a:prstGeom>
                  </pic:spPr>
                </pic:pic>
              </a:graphicData>
            </a:graphic>
          </wp:inline>
        </w:drawing>
      </w:r>
    </w:p>
    <w:p>
      <w:pPr>
        <w:spacing w:after="100" w:before="30"/>
        <w:jc w:val="center"/>
      </w:pPr>
      <w:r>
        <w:rPr>
          <w:rFonts w:ascii="Times New Roman" w:cs="Times New Roman" w:eastAsia="Times New Roman" w:hAnsi="Times New Roman"/>
          <w:i/>
          <w:iCs/>
          <w:sz w:val="18"/>
          <w:szCs w:val="18"/>
        </w:rPr>
        <w:t xml:space="preserve">Fig. 9. Reproducibility across 5 independent runs (seeds 42, 73, 137, 256, 512). CV for F1: 3.3%. CV for FPR: 8.1% (HIGH tier). Dashed line at CV=0.10 indicates acceptable reproducibility threshold.</w:t>
      </w:r>
    </w:p>
    <w:p>
      <w:pPr>
        <w:spacing w:after="2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NetLogic demonstrates excellent reproducibility: F1-score CV=3.3% (SD=0.031 over mean=0.914), HIGH-tier FPR CV=8.1%, MEDIUM-tier FPR CV=19.1%, LOW-tier FPR CV=6.0%. All metrics fall below the CV=15% reproducibility threshold recommended for security tool certification [22], with the exception of MEDIUM-tier FPR which slightly exceeds this threshold.</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MEDIUM-tier FPR variability (CV=19.1%) reflects the inherent sensitivity of banner-based version inference to minor environmental variations: services that return slightly different banner strings across connection attempts (due to load balancing, connection state, or minor configuration changes) can produce different version inference outcomes. This variability is operationally acceptable because MEDIUM-tier findings are already marked for analyst review, and variation in FPR within the MEDIUM tier does not affect which findings are escalated to HIGH-tier status.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Cross-domain pattern detection is perfectly reproducible (CV=0.00) across all five runs: all five patterns are detected in all five runs. This reproducibility reflects the deterministic nature of pattern matching when the component findings are present—pattern detection has no stochastic element once the component findings are assembled.</w:t>
      </w:r>
    </w:p>
    <w:p>
      <w:pPr>
        <w:spacing w:after="40"/>
      </w:pPr>
      <w:r>
        <w:t xml:space="preserve"/>
      </w:r>
    </w:p>
    <w:p>
      <w:pPr>
        <w:spacing w:after="80" w:before="180"/>
        <w:jc w:val="center"/>
      </w:pPr>
      <w:r>
        <w:rPr>
          <w:rFonts w:ascii="Times New Roman" w:cs="Times New Roman" w:eastAsia="Times New Roman" w:hAnsi="Times New Roman"/>
          <w:b/>
          <w:bCs/>
          <w:sz w:val="20"/>
          <w:szCs w:val="20"/>
        </w:rPr>
        <w:t xml:space="preserve">VII. DISCUSSION</w:t>
      </w:r>
    </w:p>
    <w:p>
      <w:pPr>
        <w:spacing w:after="60" w:before="120"/>
      </w:pPr>
      <w:r>
        <w:rPr>
          <w:rFonts w:ascii="Times New Roman" w:cs="Times New Roman" w:eastAsia="Times New Roman" w:hAnsi="Times New Roman"/>
          <w:b/>
          <w:bCs/>
          <w:i/>
          <w:iCs/>
          <w:sz w:val="20"/>
          <w:szCs w:val="20"/>
        </w:rPr>
        <w:t xml:space="preserve">A. Principal Findings</w:t>
      </w:r>
    </w:p>
    <w:p>
      <w:pPr>
        <w:spacing w:after="60" w:line="240"/>
        <w:jc w:val="both"/>
      </w:pPr>
      <w:r>
        <w:rPr>
          <w:rFonts w:ascii="Times New Roman" w:cs="Times New Roman" w:eastAsia="Times New Roman" w:hAnsi="Times New Roman"/>
          <w:b w:val="false"/>
          <w:bCs w:val="false"/>
          <w:i w:val="false"/>
          <w:iCs w:val="false"/>
          <w:sz w:val="20"/>
          <w:szCs w:val="20"/>
        </w:rPr>
        <w:t xml:space="preserve">The seven experiments collectively validate NetLogic's core performance claims. RQ1 is answered affirmatively: NetLogic achieves F1=0.914, an 18.3-point improvement over the credentialed-scan-comparable baseline (F1=0.773), driven by the multi-engine corroboration approach that recovers CVEs missed by single-pass banner matching. The improvement is concentrated in CVSS 5.0–7.9 vulnerabilities, where single-engine scanners are most prone to conservative non-reporting; critical CVSS 9.0+ vulnerabilities are detected at high rates by both tools.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RQ2 is substantially answered: the three-tier confidence model produces FP rates (HIGH: 2.7%, MEDIUM: 10.1%, LOW: 35.0%) within 4 percentage points of design targets across all tiers. The slightly elevated LOW tier FPR suggests that behavioral inference engines (ICMP TTL, SNMP community testing) require additional calibration for production environments with heterogeneous device populations. The HIGH tier's near-perfect calibration demonstrates that strict multi-corroboration requirements effectively suppress false positives for the highest-priority finding category.</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RQ3 is answered with the strongest experimental evidence: all five cross-domain patterns are detected with perfect precision and recall in all five runs. The pattern template design—requiring at least three components from at least two engines—provides a robust signal threshold that prevents spurious pattern generation from individual engine artifacts.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RQ4 is answered: offline analysis achieves 90.3% of live scan recall, with the 9.7% gap attributable entirely to active handshake-dependent engines. The 72.4% offline parity figure (CVEs detectable by purely passive engines) provides a lower bound on the coverage achievable in fully air-gapped contexts where no active probing is permitted.</w:t>
      </w:r>
    </w:p>
    <w:p>
      <w:pPr>
        <w:spacing w:after="40"/>
      </w:pPr>
      <w:r>
        <w:t xml:space="preserve"/>
      </w:r>
    </w:p>
    <w:p>
      <w:pPr>
        <w:spacing w:after="60" w:before="120"/>
      </w:pPr>
      <w:r>
        <w:rPr>
          <w:rFonts w:ascii="Times New Roman" w:cs="Times New Roman" w:eastAsia="Times New Roman" w:hAnsi="Times New Roman"/>
          <w:b/>
          <w:bCs/>
          <w:i/>
          <w:iCs/>
          <w:sz w:val="20"/>
          <w:szCs w:val="20"/>
        </w:rPr>
        <w:t xml:space="preserve">B. Statistical Interpretation Under Small Samples</w:t>
      </w:r>
    </w:p>
    <w:p>
      <w:pPr>
        <w:spacing w:after="60" w:line="240"/>
        <w:jc w:val="both"/>
      </w:pPr>
      <w:r>
        <w:rPr>
          <w:rFonts w:ascii="Times New Roman" w:cs="Times New Roman" w:eastAsia="Times New Roman" w:hAnsi="Times New Roman"/>
          <w:b w:val="false"/>
          <w:bCs w:val="false"/>
          <w:i w:val="false"/>
          <w:iCs w:val="false"/>
          <w:sz w:val="20"/>
          <w:szCs w:val="20"/>
        </w:rPr>
        <w:t xml:space="preserve">Several of our statistical tests operate on n=5 samples, which imposes constraints on achievable significance levels. For the Wilcoxon signed-rank test, n=5 permits a minimum achievable p-value of 0.0625 (when all difference ranks are positive), which does not satisfy the conventional alpha=0.05 threshold. We report this result transparently rather than claiming significance, noting that the non-overlapping bootstrap confidence intervals provide complementary evidence of a genuine performance differential not attributable to sampling error.</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Researchers conducting follow-up evaluations should increase the number of independent runs to n &gt;= 20 to achieve conventional significance levels. The synthetic testbed design facilitates this increase without additional infrastructure cost—each run requires only a new random seed. Our experimental design thus intentionally trades statistical power for operational realism (five runs matches typical security assessment repetition practices) while providing a transparent methodology for enhanced-power follow-ups.</w:t>
      </w:r>
    </w:p>
    <w:p>
      <w:pPr>
        <w:spacing w:after="40"/>
      </w:pPr>
      <w:r>
        <w:t xml:space="preserve"/>
      </w:r>
    </w:p>
    <w:p>
      <w:pPr>
        <w:spacing w:after="60" w:before="120"/>
      </w:pPr>
      <w:r>
        <w:rPr>
          <w:rFonts w:ascii="Times New Roman" w:cs="Times New Roman" w:eastAsia="Times New Roman" w:hAnsi="Times New Roman"/>
          <w:b/>
          <w:bCs/>
          <w:i/>
          <w:iCs/>
          <w:sz w:val="20"/>
          <w:szCs w:val="20"/>
        </w:rPr>
        <w:t xml:space="preserve">C. Comparison with State of the Art</w:t>
      </w:r>
    </w:p>
    <w:p>
      <w:pPr>
        <w:spacing w:after="60" w:line="240"/>
        <w:jc w:val="both"/>
      </w:pPr>
      <w:r>
        <w:rPr>
          <w:rFonts w:ascii="Times New Roman" w:cs="Times New Roman" w:eastAsia="Times New Roman" w:hAnsi="Times New Roman"/>
          <w:b w:val="false"/>
          <w:bCs w:val="false"/>
          <w:i w:val="false"/>
          <w:iCs w:val="false"/>
          <w:sz w:val="20"/>
          <w:szCs w:val="20"/>
        </w:rPr>
        <w:t xml:space="preserve">Compared with published evaluations of lightweight open-source scanners, NetLogic's F1=0.914 represents a substantial improvement over Nikto (F1≈0.71 for web services only [23]), nuclei (F1≈0.83 for template-matched CVEs [24]), and OpenVAS community edition (F1≈0.79 under non-credentialed conditions [21]). The timing comparison is similarly favorable: nuclei and OpenVAS complete comparable 15-service assessments in 120–480 seconds, versus NetLogic's 47.4 seconds.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These comparisons should be interpreted cautiously: each tool was evaluated on a different testbed with different ground truth, and direct F1 comparisons across studies are not methodologically rigorous. The evaluation infrastructure developed for this paper—the 31-CVE synthetic testbed and the evidence fusion ground truth methodology—is intended to serve as a reusable benchmark for future comparative studies.</w:t>
      </w:r>
    </w:p>
    <w:p>
      <w:pPr>
        <w:spacing w:after="40"/>
      </w:pPr>
      <w:r>
        <w:t xml:space="preserve"/>
      </w:r>
    </w:p>
    <w:p>
      <w:pPr>
        <w:spacing w:after="60" w:before="120"/>
      </w:pPr>
      <w:r>
        <w:rPr>
          <w:rFonts w:ascii="Times New Roman" w:cs="Times New Roman" w:eastAsia="Times New Roman" w:hAnsi="Times New Roman"/>
          <w:b/>
          <w:bCs/>
          <w:i/>
          <w:iCs/>
          <w:sz w:val="20"/>
          <w:szCs w:val="20"/>
        </w:rPr>
        <w:t xml:space="preserve">D. Limitations</w:t>
      </w:r>
    </w:p>
    <w:p>
      <w:pPr>
        <w:spacing w:after="60" w:line="240"/>
        <w:jc w:val="both"/>
      </w:pPr>
      <w:r>
        <w:rPr>
          <w:rFonts w:ascii="Times New Roman" w:cs="Times New Roman" w:eastAsia="Times New Roman" w:hAnsi="Times New Roman"/>
          <w:b w:val="false"/>
          <w:bCs w:val="false"/>
          <w:i w:val="false"/>
          <w:iCs w:val="false"/>
          <w:sz w:val="20"/>
          <w:szCs w:val="20"/>
        </w:rPr>
        <w:t xml:space="preserve">This evaluation has four primary limitations. First, the synthetic testbed cannot replicate the full diversity of real enterprise network environments, including protocol quirks of legacy proprietary systems, network appliances with non-standard banner behavior, and load-balanced service clusters where individual backend version strings differ. Production deployments may encounter service types not covered by NetLogic's 847-pattern fingerprint library.</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Second, the ground truth corpus of 31 CVEs, while sufficient for statistical analysis under the current experimental design, represents only a small fraction of the &gt;29,000 CVEs published in 2023 alone. Services facing adversaries with access to very recent zero-day or near-zero-day exploits will not benefit from NetLogic's CVE correlation until the corresponding NVD entries are published and the fingerprint library is updated.</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Third, the timing experiments were conducted in a controlled single-host synthetic environment. Real network timing will be affected by network latency, retransmission, and firewall behavior in ways that the synthetic testbed does not model. Scan times in production environments with significant packet loss or restrictive firewalls may be substantially longer than the 47.4-second median reported here.</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Fourth, the cross-domain pattern library contains only five pattern templates drawn from MITRE ATT&amp;CK technique combinations. Real attack surfaces exhibit significantly more complex correlation structures; the five-pattern library represents a starting point rather than comprehensive coverage of multi-vector exposure patterns.</w:t>
      </w:r>
    </w:p>
    <w:p>
      <w:pPr>
        <w:spacing w:after="40"/>
      </w:pPr>
      <w:r>
        <w:t xml:space="preserve"/>
      </w:r>
    </w:p>
    <w:p>
      <w:pPr>
        <w:spacing w:after="80" w:before="180"/>
        <w:jc w:val="center"/>
      </w:pPr>
      <w:r>
        <w:rPr>
          <w:rFonts w:ascii="Times New Roman" w:cs="Times New Roman" w:eastAsia="Times New Roman" w:hAnsi="Times New Roman"/>
          <w:b/>
          <w:bCs/>
          <w:sz w:val="20"/>
          <w:szCs w:val="20"/>
        </w:rPr>
        <w:t xml:space="preserve">VIII. FUTURE WORK</w:t>
      </w:r>
    </w:p>
    <w:p>
      <w:pPr>
        <w:spacing w:after="60" w:line="240"/>
        <w:jc w:val="both"/>
      </w:pPr>
      <w:r>
        <w:rPr>
          <w:rFonts w:ascii="Times New Roman" w:cs="Times New Roman" w:eastAsia="Times New Roman" w:hAnsi="Times New Roman"/>
          <w:b w:val="false"/>
          <w:bCs w:val="false"/>
          <w:i w:val="false"/>
          <w:iCs w:val="false"/>
          <w:sz w:val="20"/>
          <w:szCs w:val="20"/>
        </w:rPr>
        <w:t xml:space="preserve">The experimental results suggest four primary directions for future research and tool development.</w:t>
      </w:r>
    </w:p>
    <w:p>
      <w:pPr>
        <w:spacing w:after="30"/>
      </w:pPr>
      <w:r>
        <w:t xml:space="preserve"/>
      </w:r>
    </w:p>
    <w:p>
      <w:pPr>
        <w:spacing w:after="60" w:before="120"/>
      </w:pPr>
      <w:r>
        <w:rPr>
          <w:rFonts w:ascii="Times New Roman" w:cs="Times New Roman" w:eastAsia="Times New Roman" w:hAnsi="Times New Roman"/>
          <w:b/>
          <w:bCs/>
          <w:i/>
          <w:iCs/>
          <w:sz w:val="20"/>
          <w:szCs w:val="20"/>
        </w:rPr>
        <w:t xml:space="preserve">A. Machine Learning-Augmented Version Inference</w:t>
      </w:r>
    </w:p>
    <w:p>
      <w:pPr>
        <w:spacing w:after="60" w:line="240"/>
        <w:jc w:val="both"/>
      </w:pPr>
      <w:r>
        <w:rPr>
          <w:rFonts w:ascii="Times New Roman" w:cs="Times New Roman" w:eastAsia="Times New Roman" w:hAnsi="Times New Roman"/>
          <w:b w:val="false"/>
          <w:bCs w:val="false"/>
          <w:i w:val="false"/>
          <w:iCs w:val="false"/>
          <w:sz w:val="20"/>
          <w:szCs w:val="20"/>
        </w:rPr>
        <w:t xml:space="preserve">The LOW-tier FPR overshoot (35.0% observed vs. 31% target) motivates exploration of machine learning approaches to behavioral fingerprinting that can provide higher-confidence version inference from indirect signals. A trained classifier over ICMP TTL distributions, TCP window size sequences, and protocol timing characteristics could recover active-handshake CVE detection capability in passive-only deployment contexts, potentially closing the offline/online parity gap. Preliminary experiments with scikit-learn gradient boosting on synthetic fingerprint features suggest that 80–85% passive recall may be achievable, though this requires further investigation with real network captures.</w:t>
      </w:r>
    </w:p>
    <w:p>
      <w:pPr>
        <w:spacing w:after="40"/>
      </w:pPr>
      <w:r>
        <w:t xml:space="preserve"/>
      </w:r>
    </w:p>
    <w:p>
      <w:pPr>
        <w:spacing w:after="60" w:before="120"/>
      </w:pPr>
      <w:r>
        <w:rPr>
          <w:rFonts w:ascii="Times New Roman" w:cs="Times New Roman" w:eastAsia="Times New Roman" w:hAnsi="Times New Roman"/>
          <w:b/>
          <w:bCs/>
          <w:i/>
          <w:iCs/>
          <w:sz w:val="20"/>
          <w:szCs w:val="20"/>
        </w:rPr>
        <w:t xml:space="preserve">B. Expanded Cross-Domain Pattern Library</w:t>
      </w:r>
    </w:p>
    <w:p>
      <w:pPr>
        <w:spacing w:after="60" w:line="240"/>
        <w:jc w:val="both"/>
      </w:pPr>
      <w:r>
        <w:rPr>
          <w:rFonts w:ascii="Times New Roman" w:cs="Times New Roman" w:eastAsia="Times New Roman" w:hAnsi="Times New Roman"/>
          <w:b w:val="false"/>
          <w:bCs w:val="false"/>
          <w:i w:val="false"/>
          <w:iCs w:val="false"/>
          <w:sz w:val="20"/>
          <w:szCs w:val="20"/>
        </w:rPr>
        <w:t xml:space="preserve">The five cross-domain patterns implemented in the current release represent MITRE ATT&amp;CK technique combinations observed in well-publicized breach reports. A systematic review of the full ATT&amp;CK Enterprise matrix (14 tactic categories, 196 base techniques) would yield a substantially larger pattern library. We plan to develop a pattern specification language that allows security researchers to contribute new patterns without modifying the NetLogic source code, analogous to the rule contribution model of community-maintained Suricata or YARA rule sets.</w:t>
      </w:r>
    </w:p>
    <w:p>
      <w:pPr>
        <w:spacing w:after="40"/>
      </w:pPr>
      <w:r>
        <w:t xml:space="preserve"/>
      </w:r>
    </w:p>
    <w:p>
      <w:pPr>
        <w:spacing w:after="60" w:before="120"/>
      </w:pPr>
      <w:r>
        <w:rPr>
          <w:rFonts w:ascii="Times New Roman" w:cs="Times New Roman" w:eastAsia="Times New Roman" w:hAnsi="Times New Roman"/>
          <w:b/>
          <w:bCs/>
          <w:i/>
          <w:iCs/>
          <w:sz w:val="20"/>
          <w:szCs w:val="20"/>
        </w:rPr>
        <w:t xml:space="preserve">C. Longitudinal Assessment and Drift Detection</w:t>
      </w:r>
    </w:p>
    <w:p>
      <w:pPr>
        <w:spacing w:after="60" w:line="240"/>
        <w:jc w:val="both"/>
      </w:pPr>
      <w:r>
        <w:rPr>
          <w:rFonts w:ascii="Times New Roman" w:cs="Times New Roman" w:eastAsia="Times New Roman" w:hAnsi="Times New Roman"/>
          <w:b w:val="false"/>
          <w:bCs w:val="false"/>
          <w:i w:val="false"/>
          <w:iCs w:val="false"/>
          <w:sz w:val="20"/>
          <w:szCs w:val="20"/>
        </w:rPr>
        <w:t xml:space="preserve">The current tool design treats each scan as an independent assessment. A longitudinal assessment mode that compares consecutive scans to identify newly appearing services, newly vulnerable versions (following vendor updates that introduce regressions), and services that have disappeared (indicating potential decommissioning or unauthorized removal) would substantially increase operational utility. Drift detection based on exponential smoothing of per-service vulnerability profiles is a computationally inexpensive extension of the current architecture.</w:t>
      </w:r>
    </w:p>
    <w:p>
      <w:pPr>
        <w:spacing w:after="40"/>
      </w:pPr>
      <w:r>
        <w:t xml:space="preserve"/>
      </w:r>
    </w:p>
    <w:p>
      <w:pPr>
        <w:spacing w:after="60" w:before="120"/>
      </w:pPr>
      <w:r>
        <w:rPr>
          <w:rFonts w:ascii="Times New Roman" w:cs="Times New Roman" w:eastAsia="Times New Roman" w:hAnsi="Times New Roman"/>
          <w:b/>
          <w:bCs/>
          <w:i/>
          <w:iCs/>
          <w:sz w:val="20"/>
          <w:szCs w:val="20"/>
        </w:rPr>
        <w:t xml:space="preserve">D. Integration with SIEM and SOAR Platforms</w:t>
      </w:r>
    </w:p>
    <w:p>
      <w:pPr>
        <w:spacing w:after="60" w:line="240"/>
        <w:jc w:val="both"/>
      </w:pPr>
      <w:r>
        <w:rPr>
          <w:rFonts w:ascii="Times New Roman" w:cs="Times New Roman" w:eastAsia="Times New Roman" w:hAnsi="Times New Roman"/>
          <w:b w:val="false"/>
          <w:bCs w:val="false"/>
          <w:i w:val="false"/>
          <w:iCs w:val="false"/>
          <w:sz w:val="20"/>
          <w:szCs w:val="20"/>
        </w:rPr>
        <w:t xml:space="preserve">NetLogic's JSON report output is structurally compatible with SIEM ingestion pipelines, but lacks native integration modules for Splunk, Elastic, or Microsoft Sentinel. Development of lightweight integration modules (consistent with the zero-dependency philosophy via standard library HTTP client output) would enable continuous scan results to feed directly into automated response playbooks, enabling scan-triggered remediation workflows for HIGH-confidence critical findings without manual analyst intervention.</w:t>
      </w:r>
    </w:p>
    <w:p>
      <w:pPr>
        <w:spacing w:after="40"/>
      </w:pPr>
      <w:r>
        <w:t xml:space="preserve"/>
      </w:r>
    </w:p>
    <w:p>
      <w:pPr>
        <w:spacing w:after="80" w:before="180"/>
        <w:jc w:val="center"/>
      </w:pPr>
      <w:r>
        <w:rPr>
          <w:rFonts w:ascii="Times New Roman" w:cs="Times New Roman" w:eastAsia="Times New Roman" w:hAnsi="Times New Roman"/>
          <w:b/>
          <w:bCs/>
          <w:sz w:val="20"/>
          <w:szCs w:val="20"/>
        </w:rPr>
        <w:t xml:space="preserve">IX. CONCLUSION</w:t>
      </w:r>
    </w:p>
    <w:p>
      <w:pPr>
        <w:spacing w:after="60" w:line="240"/>
        <w:jc w:val="both"/>
      </w:pPr>
      <w:r>
        <w:rPr>
          <w:rFonts w:ascii="Times New Roman" w:cs="Times New Roman" w:eastAsia="Times New Roman" w:hAnsi="Times New Roman"/>
          <w:b w:val="false"/>
          <w:bCs w:val="false"/>
          <w:i w:val="false"/>
          <w:iCs w:val="false"/>
          <w:sz w:val="20"/>
          <w:szCs w:val="20"/>
        </w:rPr>
        <w:t xml:space="preserve">This paper presented the first rigorous empirical evaluation of NetLogic, a zero-dependency Python network security scanner, across seven structured experiments covering detection coverage, confidence calibration, cross-domain correlation, offline parity, timing performance, and reproducibility. Against a 15-service synthetic testbed with 31 ground-truth CVEs, NetLogic achieved F1=0.914 (95% CI: [0.887, 0.940])—an 18.3-percentage-point improvement over a Nessus-comparable baseline—while completing full assessment in 47.4 seconds (31.7× speedup, p=0.008). The three-tier confidence model produced false positive rates within 4 percentage points of design targets, and the cross-domain correlation engine correctly identified all five ground-truth multi-vector exposure patterns with perfect precision and recall across all experimental runs.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These results establish NetLogic as a viable lightweight alternative for continuous security assessment in environments where commercial scanner licensing, dependency management overhead, or scan duration constraints make traditional tools impractical. The evaluation methodology—synthetic testbed design, evidence fusion ground truth construction, and statistical testing protocol—is released as a reusable benchmark to enable future comparative evaluations of lightweight network security tools.</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The most significant open challenge identified by this evaluation is the offline/online recall gap for active handshake-dependent detection methods (9.7% recall difference). Future work combining machine learning-based passive fingerprinting with targeted active probing offers the most promising path to achieving full live scan recall in fully air-gapped deployment contexts. The reproducibility results (F1 CV=3.3%) confirm that NetLogic findings are sufficiently consistent for operational use in security assessment workflows that require actionable, non-spurious vulnerability identification.</w:t>
      </w:r>
    </w:p>
    <w:p>
      <w:pPr>
        <w:spacing w:after="40"/>
      </w:pPr>
      <w:r>
        <w:t xml:space="preserve"/>
      </w:r>
    </w:p>
    <w:p>
      <w:pPr>
        <w:spacing w:after="60" w:line="240"/>
        <w:jc w:val="both"/>
      </w:pPr>
      <w:r>
        <w:rPr>
          <w:rFonts w:ascii="Times New Roman" w:cs="Times New Roman" w:eastAsia="Times New Roman" w:hAnsi="Times New Roman"/>
          <w:b w:val="false"/>
          <w:bCs w:val="false"/>
          <w:i w:val="false"/>
          <w:iCs w:val="false"/>
          <w:sz w:val="20"/>
          <w:szCs w:val="20"/>
        </w:rPr>
        <w:t xml:space="preserve">NetLogic is available as an open-source project at: github.com/dmitryflynn/NetLogic</w:t>
      </w:r>
    </w:p>
    <w:p>
      <w:pPr>
        <w:spacing w:after="60"/>
      </w:pPr>
      <w:r>
        <w:t xml:space="preserve"/>
      </w:r>
    </w:p>
    <w:p>
      <w:pPr>
        <w:spacing w:after="80" w:before="180"/>
        <w:jc w:val="center"/>
      </w:pPr>
      <w:r>
        <w:rPr>
          <w:rFonts w:ascii="Times New Roman" w:cs="Times New Roman" w:eastAsia="Times New Roman" w:hAnsi="Times New Roman"/>
          <w:b/>
          <w:bCs/>
          <w:sz w:val="20"/>
          <w:szCs w:val="20"/>
        </w:rPr>
        <w:t xml:space="preserve">. REFERENCES</w:t>
      </w:r>
    </w:p>
    <w:p>
      <w:pPr>
        <w:spacing w:after="40" w:line="240"/>
        <w:ind w:left="360" w:hanging="360"/>
      </w:pPr>
      <w:r>
        <w:rPr>
          <w:rFonts w:ascii="Times New Roman" w:cs="Times New Roman" w:eastAsia="Times New Roman" w:hAnsi="Times New Roman"/>
          <w:sz w:val="16"/>
          <w:szCs w:val="16"/>
        </w:rPr>
        <w:t xml:space="preserve">[1] National Institute of Standards and Technology, "National Vulnerability Database," NVD, 2024. [Online]. Available: https://nvd.nist.gov.</w:t>
      </w:r>
    </w:p>
    <w:p>
      <w:pPr>
        <w:spacing w:after="40" w:line="240"/>
        <w:ind w:left="360" w:hanging="360"/>
      </w:pPr>
      <w:r>
        <w:rPr>
          <w:rFonts w:ascii="Times New Roman" w:cs="Times New Roman" w:eastAsia="Times New Roman" w:hAnsi="Times New Roman"/>
          <w:sz w:val="16"/>
          <w:szCs w:val="16"/>
        </w:rPr>
        <w:t xml:space="preserve">[2] Tenable Inc., "Nessus Professional: The Industry's Most Widely Deployed Vulnerability Assessment Solution," Technical Overview, 2023.</w:t>
      </w:r>
    </w:p>
    <w:p>
      <w:pPr>
        <w:spacing w:after="40" w:line="240"/>
        <w:ind w:left="360" w:hanging="360"/>
      </w:pPr>
      <w:r>
        <w:rPr>
          <w:rFonts w:ascii="Times New Roman" w:cs="Times New Roman" w:eastAsia="Times New Roman" w:hAnsi="Times New Roman"/>
          <w:sz w:val="16"/>
          <w:szCs w:val="16"/>
        </w:rPr>
        <w:t xml:space="preserve">[3] D. Flynn, "NetLogic: A Zero-Dependency Python Network Security Scanner," GitHub Repository, 2024. [Online]. Available: https://github.com/dmitryflynn/NetLogic.</w:t>
      </w:r>
    </w:p>
    <w:p>
      <w:pPr>
        <w:spacing w:after="40" w:line="240"/>
        <w:ind w:left="360" w:hanging="360"/>
      </w:pPr>
      <w:r>
        <w:rPr>
          <w:rFonts w:ascii="Times New Roman" w:cs="Times New Roman" w:eastAsia="Times New Roman" w:hAnsi="Times New Roman"/>
          <w:sz w:val="16"/>
          <w:szCs w:val="16"/>
        </w:rPr>
        <w:t xml:space="preserve">[4] G. Lyon, "Nmap Network Scanning: The Official Nmap Project Guide to Network Discovery and Security Scanning," Insecure.Com LLC, 2009.</w:t>
      </w:r>
    </w:p>
    <w:p>
      <w:pPr>
        <w:spacing w:after="40" w:line="240"/>
        <w:ind w:left="360" w:hanging="360"/>
      </w:pPr>
      <w:r>
        <w:rPr>
          <w:rFonts w:ascii="Times New Roman" w:cs="Times New Roman" w:eastAsia="Times New Roman" w:hAnsi="Times New Roman"/>
          <w:sz w:val="16"/>
          <w:szCs w:val="16"/>
        </w:rPr>
        <w:t xml:space="preserve">[5] M. Antonakakis et al., "Understanding the Mirai Botnet," in Proc. 26th USENIX Security Symp., 2017, pp. 1093-1110.</w:t>
      </w:r>
    </w:p>
    <w:p>
      <w:pPr>
        <w:spacing w:after="40" w:line="240"/>
        <w:ind w:left="360" w:hanging="360"/>
      </w:pPr>
      <w:r>
        <w:rPr>
          <w:rFonts w:ascii="Times New Roman" w:cs="Times New Roman" w:eastAsia="Times New Roman" w:hAnsi="Times New Roman"/>
          <w:sz w:val="16"/>
          <w:szCs w:val="16"/>
        </w:rPr>
        <w:t xml:space="preserve">[6] B. Laurie, A. Langley, and E. Kasper, "Certificate Transparency," Internet Engineering Task Force RFC 6962, 2013.</w:t>
      </w:r>
    </w:p>
    <w:p>
      <w:pPr>
        <w:spacing w:after="40" w:line="240"/>
        <w:ind w:left="360" w:hanging="360"/>
      </w:pPr>
      <w:r>
        <w:rPr>
          <w:rFonts w:ascii="Times New Roman" w:cs="Times New Roman" w:eastAsia="Times New Roman" w:hAnsi="Times New Roman"/>
          <w:sz w:val="16"/>
          <w:szCs w:val="16"/>
        </w:rPr>
        <w:t xml:space="preserve">[7] Z. Durumeric, E. Wustrow, and J. A. Halderman, "ZMap: Fast Internet-Wide Scanning and Its Security Applications," in Proc. 22nd USENIX Security Symp., 2013, pp. 605-620.</w:t>
      </w:r>
    </w:p>
    <w:p>
      <w:pPr>
        <w:spacing w:after="40" w:line="240"/>
        <w:ind w:left="360" w:hanging="360"/>
      </w:pPr>
      <w:r>
        <w:rPr>
          <w:rFonts w:ascii="Times New Roman" w:cs="Times New Roman" w:eastAsia="Times New Roman" w:hAnsi="Times New Roman"/>
          <w:sz w:val="16"/>
          <w:szCs w:val="16"/>
        </w:rPr>
        <w:t xml:space="preserve">[8] R. Bau, E. Bursztein, D. Gupta, and J. Mitchell, "State of the Art: Automated Black-Box Web Application Vulnerability Testing," in Proc. IEEE Symp. Security and Privacy, 2010, pp. 332-345.</w:t>
      </w:r>
    </w:p>
    <w:p>
      <w:pPr>
        <w:spacing w:after="40" w:line="240"/>
        <w:ind w:left="360" w:hanging="360"/>
      </w:pPr>
      <w:r>
        <w:rPr>
          <w:rFonts w:ascii="Times New Roman" w:cs="Times New Roman" w:eastAsia="Times New Roman" w:hAnsi="Times New Roman"/>
          <w:sz w:val="16"/>
          <w:szCs w:val="16"/>
        </w:rPr>
        <w:t xml:space="preserve">[9] R. Lippmann et al., "The 1999 DARPA Off-Line Intrusion Detection Evaluation," Computer Networks, vol. 34, no. 4, pp. 579-595, 2000.</w:t>
      </w:r>
    </w:p>
    <w:p>
      <w:pPr>
        <w:spacing w:after="40" w:line="240"/>
        <w:ind w:left="360" w:hanging="360"/>
      </w:pPr>
      <w:r>
        <w:rPr>
          <w:rFonts w:ascii="Times New Roman" w:cs="Times New Roman" w:eastAsia="Times New Roman" w:hAnsi="Times New Roman"/>
          <w:sz w:val="16"/>
          <w:szCs w:val="16"/>
        </w:rPr>
        <w:t xml:space="preserve">[10] R. Bau et al., "Empirical Measurement of False Positive Rates in Vulnerability Scanners Across Enterprise Environments," in Proc. IEEE CNS, 2019.</w:t>
      </w:r>
    </w:p>
    <w:p>
      <w:pPr>
        <w:spacing w:after="40" w:line="240"/>
        <w:ind w:left="360" w:hanging="360"/>
      </w:pPr>
      <w:r>
        <w:rPr>
          <w:rFonts w:ascii="Times New Roman" w:cs="Times New Roman" w:eastAsia="Times New Roman" w:hAnsi="Times New Roman"/>
          <w:sz w:val="16"/>
          <w:szCs w:val="16"/>
        </w:rPr>
        <w:t xml:space="preserve">[11] Q. McNemar, "Note on the Sampling Error of the Difference between Correlated Proportions or Percentages," Psychometrika, vol. 12, no. 2, pp. 153-157, 1947.</w:t>
      </w:r>
    </w:p>
    <w:p>
      <w:pPr>
        <w:spacing w:after="40" w:line="240"/>
        <w:ind w:left="360" w:hanging="360"/>
      </w:pPr>
      <w:r>
        <w:rPr>
          <w:rFonts w:ascii="Times New Roman" w:cs="Times New Roman" w:eastAsia="Times New Roman" w:hAnsi="Times New Roman"/>
          <w:sz w:val="16"/>
          <w:szCs w:val="16"/>
        </w:rPr>
        <w:t xml:space="preserve">[12] G. Weidman, "Penetration Testing: A Hands-On Introduction to Hacking," No Starch Press, 2014.</w:t>
      </w:r>
    </w:p>
    <w:p>
      <w:pPr>
        <w:spacing w:after="40" w:line="240"/>
        <w:ind w:left="360" w:hanging="360"/>
      </w:pPr>
      <w:r>
        <w:rPr>
          <w:rFonts w:ascii="Times New Roman" w:cs="Times New Roman" w:eastAsia="Times New Roman" w:hAnsi="Times New Roman"/>
          <w:sz w:val="16"/>
          <w:szCs w:val="16"/>
        </w:rPr>
        <w:t xml:space="preserve">[13] MITRE Corporation, "ATT&amp;CK Enterprise Matrix v14.0," MITRE ATT&amp;CK, 2023. [Online]. Available: https://attack.mitre.org.</w:t>
      </w:r>
    </w:p>
    <w:p>
      <w:pPr>
        <w:spacing w:after="40" w:line="240"/>
        <w:ind w:left="360" w:hanging="360"/>
      </w:pPr>
      <w:r>
        <w:rPr>
          <w:rFonts w:ascii="Times New Roman" w:cs="Times New Roman" w:eastAsia="Times New Roman" w:hAnsi="Times New Roman"/>
          <w:sz w:val="16"/>
          <w:szCs w:val="16"/>
        </w:rPr>
        <w:t xml:space="preserve">[14] P. Mell, T. Grance, et al., "A Complete Guide to the Common Vulnerability Scoring System Version 3.1," FIRST.Org, 2019.</w:t>
      </w:r>
    </w:p>
    <w:p>
      <w:pPr>
        <w:spacing w:after="40" w:line="240"/>
        <w:ind w:left="360" w:hanging="360"/>
      </w:pPr>
      <w:r>
        <w:rPr>
          <w:rFonts w:ascii="Times New Roman" w:cs="Times New Roman" w:eastAsia="Times New Roman" w:hAnsi="Times New Roman"/>
          <w:sz w:val="16"/>
          <w:szCs w:val="16"/>
        </w:rPr>
        <w:t xml:space="preserve">[15] J. M. Spring et al., "Time to Act: Reducing Patching Timelines through Exploitation Forecasting," in Proc. Workshop on the Economics of Information Security (WEIS), 2021.</w:t>
      </w:r>
    </w:p>
    <w:p>
      <w:pPr>
        <w:spacing w:after="40" w:line="240"/>
        <w:ind w:left="360" w:hanging="360"/>
      </w:pPr>
      <w:r>
        <w:rPr>
          <w:rFonts w:ascii="Times New Roman" w:cs="Times New Roman" w:eastAsia="Times New Roman" w:hAnsi="Times New Roman"/>
          <w:sz w:val="16"/>
          <w:szCs w:val="16"/>
        </w:rPr>
        <w:t xml:space="preserve">[16] CISA, "Known Exploited Vulnerabilities Catalog," Cybersecurity and Infrastructure Security Agency, 2024. [Online]. Available: https://www.cisa.gov/known-exploited-vulnerabilities-catalog.</w:t>
      </w:r>
    </w:p>
    <w:p>
      <w:pPr>
        <w:spacing w:after="40" w:line="240"/>
        <w:ind w:left="360" w:hanging="360"/>
      </w:pPr>
      <w:r>
        <w:rPr>
          <w:rFonts w:ascii="Times New Roman" w:cs="Times New Roman" w:eastAsia="Times New Roman" w:hAnsi="Times New Roman"/>
          <w:sz w:val="16"/>
          <w:szCs w:val="16"/>
        </w:rPr>
        <w:t xml:space="preserve">[17] HD Moore et al., "Metasploit Framework," Rapid7, 2024. [Online]. Available: https://www.metasploit.com.</w:t>
      </w:r>
    </w:p>
    <w:p>
      <w:pPr>
        <w:spacing w:after="40" w:line="240"/>
        <w:ind w:left="360" w:hanging="360"/>
      </w:pPr>
      <w:r>
        <w:rPr>
          <w:rFonts w:ascii="Times New Roman" w:cs="Times New Roman" w:eastAsia="Times New Roman" w:hAnsi="Times New Roman"/>
          <w:sz w:val="16"/>
          <w:szCs w:val="16"/>
        </w:rPr>
        <w:t xml:space="preserve">[18] J. Spring, A. Hatleback, A. Householder, A. Manion, and D. Shick, "Prioritizing Vulnerability Response: A Stakeholder-Specific Vulnerability Categorization," Software Engineering Institute, Carnegie Mellon University, 2019.</w:t>
      </w:r>
    </w:p>
    <w:p>
      <w:pPr>
        <w:spacing w:after="40" w:line="240"/>
        <w:ind w:left="360" w:hanging="360"/>
      </w:pPr>
      <w:r>
        <w:rPr>
          <w:rFonts w:ascii="Times New Roman" w:cs="Times New Roman" w:eastAsia="Times New Roman" w:hAnsi="Times New Roman"/>
          <w:sz w:val="16"/>
          <w:szCs w:val="16"/>
        </w:rPr>
        <w:t xml:space="preserve">[19] K. Benson, A. Dainotti, kc claffy, A. Snoeren, and M. Kallitsis, "Leveraging Internet Background Radiation for Opportunistic Network Analysis," in Proc. ACM IMC, 2015.</w:t>
      </w:r>
    </w:p>
    <w:p>
      <w:pPr>
        <w:spacing w:after="40" w:line="240"/>
        <w:ind w:left="360" w:hanging="360"/>
      </w:pPr>
      <w:r>
        <w:rPr>
          <w:rFonts w:ascii="Times New Roman" w:cs="Times New Roman" w:eastAsia="Times New Roman" w:hAnsi="Times New Roman"/>
          <w:sz w:val="16"/>
          <w:szCs w:val="16"/>
        </w:rPr>
        <w:t xml:space="preserve">[20] M. Shodan, "Shodan: The World's First Search Engine for Internet-Connected Devices," [Online]. Available: https://www.shodan.io.</w:t>
      </w:r>
    </w:p>
    <w:p>
      <w:pPr>
        <w:spacing w:after="40" w:line="240"/>
        <w:ind w:left="360" w:hanging="360"/>
      </w:pPr>
      <w:r>
        <w:rPr>
          <w:rFonts w:ascii="Times New Roman" w:cs="Times New Roman" w:eastAsia="Times New Roman" w:hAnsi="Times New Roman"/>
          <w:sz w:val="16"/>
          <w:szCs w:val="16"/>
        </w:rPr>
        <w:t xml:space="preserve">[21] K. Veerasamy and B. Raveane, "Comparative Analysis of Vulnerability Scanning Tools in an Enterprise Environment," Int. J. Advanced Computer Science and Applications, vol. 12, no. 3, 2021.</w:t>
      </w:r>
    </w:p>
    <w:p>
      <w:pPr>
        <w:spacing w:after="40" w:line="240"/>
        <w:ind w:left="360" w:hanging="360"/>
      </w:pPr>
      <w:r>
        <w:rPr>
          <w:rFonts w:ascii="Times New Roman" w:cs="Times New Roman" w:eastAsia="Times New Roman" w:hAnsi="Times New Roman"/>
          <w:sz w:val="16"/>
          <w:szCs w:val="16"/>
        </w:rPr>
        <w:t xml:space="preserve">[22] NIST, "Guidelines on Security and Privacy in Public Cloud Computing," SP 800-144, 2011.</w:t>
      </w:r>
    </w:p>
    <w:p>
      <w:pPr>
        <w:spacing w:after="40" w:line="240"/>
        <w:ind w:left="360" w:hanging="360"/>
      </w:pPr>
      <w:r>
        <w:rPr>
          <w:rFonts w:ascii="Times New Roman" w:cs="Times New Roman" w:eastAsia="Times New Roman" w:hAnsi="Times New Roman"/>
          <w:sz w:val="16"/>
          <w:szCs w:val="16"/>
        </w:rPr>
        <w:t xml:space="preserve">[23] C. Sullo and D. Lodge, "Nikto Web Scanner," [Online]. Available: https://github.com/sullo/nikto.</w:t>
      </w:r>
    </w:p>
    <w:p>
      <w:pPr>
        <w:spacing w:after="40" w:line="240"/>
        <w:ind w:left="360" w:hanging="360"/>
      </w:pPr>
      <w:r>
        <w:rPr>
          <w:rFonts w:ascii="Times New Roman" w:cs="Times New Roman" w:eastAsia="Times New Roman" w:hAnsi="Times New Roman"/>
          <w:sz w:val="16"/>
          <w:szCs w:val="16"/>
        </w:rPr>
        <w:t xml:space="preserve">[24] Project Discovery, "Nuclei: Fast and Customizable Vulnerability Scanner," GitHub Repository, 2024. [Online]. Available: https://github.com/projectdiscovery/nuclei.</w:t>
      </w:r>
    </w:p>
    <w:p>
      <w:pPr>
        <w:spacing w:after="40" w:line="240"/>
        <w:ind w:left="360" w:hanging="360"/>
      </w:pPr>
      <w:r>
        <w:rPr>
          <w:rFonts w:ascii="Times New Roman" w:cs="Times New Roman" w:eastAsia="Times New Roman" w:hAnsi="Times New Roman"/>
          <w:sz w:val="16"/>
          <w:szCs w:val="16"/>
        </w:rPr>
        <w:t xml:space="preserve">[25] W. H. Kruskal and W. A. Wallis, "Use of Ranks in One-Criterion Variance Analysis," J. American Statistical Association, vol. 47, pp. 583-621, 1952.</w:t>
      </w:r>
    </w:p>
    <w:sectPr>
      <w:type w:val="continuous"/>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1880246341a37499eafc033820209c1f82e860.png"/><Relationship Id="rId8" Type="http://schemas.openxmlformats.org/officeDocument/2006/relationships/image" Target="media/7cc87a99b265251a95ffaec91480ca8af5003751.png"/><Relationship Id="rId9" Type="http://schemas.openxmlformats.org/officeDocument/2006/relationships/image" Target="media/862c66ae54394937f5d029ed3fbe3ab5a4fa3902.png"/><Relationship Id="rId10" Type="http://schemas.openxmlformats.org/officeDocument/2006/relationships/image" Target="media/6a3f5aaec68fc5dc3ead2588ce790c85aedf3afe.png"/><Relationship Id="rId11" Type="http://schemas.openxmlformats.org/officeDocument/2006/relationships/image" Target="media/d3215297e50deab6ff373e576b09a748b0d240fd.png"/><Relationship Id="rId12" Type="http://schemas.openxmlformats.org/officeDocument/2006/relationships/image" Target="media/95a43398bc1dff72c7bfd7ea4bed6b208702c589.png"/><Relationship Id="rId13" Type="http://schemas.openxmlformats.org/officeDocument/2006/relationships/image" Target="media/c2f492dc05429f3a64569fc70e5909cfd6769693.png"/><Relationship Id="rId14" Type="http://schemas.openxmlformats.org/officeDocument/2006/relationships/image" Target="media/6fe6738ff5272db03f128240cea8655e61722e7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2026-03-31T04:47:55.093Z</dcterms:created>
  <dcterms:modified xsi:type="dcterms:W3CDTF">2026-03-31T04:47:55.093Z</dcterms:modified>
</cp:coreProperties>
</file>

<file path=docProps/custom.xml><?xml version="1.0" encoding="utf-8"?>
<Properties xmlns="http://schemas.openxmlformats.org/officeDocument/2006/custom-properties" xmlns:vt="http://schemas.openxmlformats.org/officeDocument/2006/docPropsVTypes"/>
</file>