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F4E79"/>
          <w:sz w:val="44"/>
          <w:szCs w:val="44"/>
        </w:rPr>
        <w:t xml:space="preserve">TTF GAS SUPPLY STACK CURVE</w:t>
      </w:r>
    </w:p>
    <w:p>
      <w:pPr>
        <w:spacing w:after="200"/>
        <w:jc w:val="center"/>
      </w:pPr>
      <w:r>
        <w:rPr>
          <w:rFonts w:ascii="Arial" w:cs="Arial" w:eastAsia="Arial" w:hAnsi="Arial"/>
          <w:color w:val="2E75B6"/>
          <w:sz w:val="28"/>
          <w:szCs w:val="28"/>
        </w:rPr>
        <w:t xml:space="preserve">Thought Process &amp; Methodology</w:t>
      </w:r>
    </w:p>
    <w:p>
      <w:pPr>
        <w:pBdr>
          <w:bottom w:val="single" w:color="2E75B6" w:sz="6" w:space="1"/>
        </w:pBdr>
        <w:spacing w:after="400"/>
        <w:jc w:val="center"/>
      </w:pPr>
    </w:p>
    <w:p>
      <w:pPr>
        <w:spacing w:after="100"/>
        <w:jc w:val="center"/>
      </w:pPr>
      <w:r>
        <w:rPr>
          <w:rFonts w:ascii="Arial" w:cs="Arial" w:eastAsia="Arial" w:hAnsi="Arial"/>
          <w:color w:val="666666"/>
          <w:sz w:val="22"/>
          <w:szCs w:val="22"/>
        </w:rPr>
        <w:t xml:space="preserve">A complete record of the analytical reasoning, design decisions,</w:t>
      </w:r>
    </w:p>
    <w:p>
      <w:pPr>
        <w:spacing w:after="100"/>
        <w:jc w:val="center"/>
      </w:pPr>
      <w:r>
        <w:rPr>
          <w:rFonts w:ascii="Arial" w:cs="Arial" w:eastAsia="Arial" w:hAnsi="Arial"/>
          <w:color w:val="666666"/>
          <w:sz w:val="22"/>
          <w:szCs w:val="22"/>
        </w:rPr>
        <w:t xml:space="preserve">modelling choices, and trade-offs behind each component</w:t>
      </w:r>
    </w:p>
    <w:p>
      <w:pPr>
        <w:spacing w:after="100"/>
        <w:jc w:val="center"/>
      </w:pPr>
      <w:r>
        <w:rPr>
          <w:rFonts w:ascii="Arial" w:cs="Arial" w:eastAsia="Arial" w:hAnsi="Arial"/>
          <w:color w:val="666666"/>
          <w:sz w:val="22"/>
          <w:szCs w:val="22"/>
        </w:rPr>
        <w:t xml:space="preserve">of the quantitative framework.</w:t>
      </w:r>
    </w:p>
    <w:p>
      <w:pPr>
        <w:spacing w:before="600"/>
        <w:jc w:val="center"/>
      </w:pPr>
      <w:r>
        <w:rPr>
          <w:rFonts w:ascii="Arial" w:cs="Arial" w:eastAsia="Arial" w:hAnsi="Arial"/>
          <w:i/>
          <w:iCs/>
          <w:color w:val="666666"/>
          <w:sz w:val="20"/>
          <w:szCs w:val="20"/>
        </w:rPr>
        <w:t xml:space="preserve">March 2026</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1. Initial Problem Framing</w:t>
      </w:r>
    </w:p>
    <w:p>
      <w:pPr>
        <w:spacing w:after="120" w:line="276"/>
      </w:pPr>
      <w:r>
        <w:rPr>
          <w:rFonts w:ascii="Arial" w:cs="Arial" w:eastAsia="Arial" w:hAnsi="Arial"/>
          <w:b w:val="false"/>
          <w:bCs w:val="false"/>
          <w:i w:val="false"/>
          <w:iCs w:val="false"/>
          <w:color w:val="000000"/>
          <w:sz w:val="20"/>
          <w:szCs w:val="20"/>
        </w:rPr>
        <w:t xml:space="preserve">The starting question was deceptively simple: what driver factors need to be included in a TTF gas stack curve? But embedded in this question are several layers of complexity that shaped the entire approach.</w:t>
      </w:r>
    </w:p>
    <w:p>
      <w:pPr>
        <w:pStyle w:val="Heading2"/>
        <w:spacing w:before="300" w:after="150"/>
      </w:pPr>
      <w:r>
        <w:rPr>
          <w:rFonts w:ascii="Arial" w:cs="Arial" w:eastAsia="Arial" w:hAnsi="Arial"/>
          <w:b/>
          <w:bCs/>
          <w:color w:val="2E75B6"/>
          <w:sz w:val="24"/>
          <w:szCs w:val="24"/>
        </w:rPr>
        <w:t xml:space="preserve">1.1 What is a stack curve, really?</w:t>
      </w:r>
    </w:p>
    <w:p>
      <w:pPr>
        <w:spacing w:after="120" w:line="276"/>
      </w:pPr>
      <w:r>
        <w:rPr>
          <w:rFonts w:ascii="Arial" w:cs="Arial" w:eastAsia="Arial" w:hAnsi="Arial"/>
          <w:b w:val="false"/>
          <w:bCs w:val="false"/>
          <w:i w:val="false"/>
          <w:iCs w:val="false"/>
          <w:color w:val="000000"/>
          <w:sz w:val="20"/>
          <w:szCs w:val="20"/>
        </w:rPr>
        <w:t xml:space="preserve">A supply stack curve is not a time series or a statistical forecast. It is a structural model that asks: at any given point in time, which supply sources are available, what does each cost at the margin, and in what order would a rational market call on them? The intersection of cumulative supply with demand gives you the market-clearing price.</w:t>
      </w:r>
    </w:p>
    <w:p>
      <w:pPr>
        <w:spacing w:after="120" w:line="276"/>
      </w:pPr>
      <w:r>
        <w:rPr>
          <w:rFonts w:ascii="Arial" w:cs="Arial" w:eastAsia="Arial" w:hAnsi="Arial"/>
          <w:b w:val="false"/>
          <w:bCs w:val="false"/>
          <w:i w:val="false"/>
          <w:iCs w:val="false"/>
          <w:color w:val="000000"/>
          <w:sz w:val="20"/>
          <w:szCs w:val="20"/>
        </w:rPr>
        <w:t xml:space="preserve">This is fundamentally different from an econometric approach (regressing TTF on historical correlates) or a technical analysis approach (chart patterns). The stack curve is a bottom-up, engineering-informed model that derives price from physical fundamentals. The trade-off is that it requires granular data on every supply source but produces a price with an auditable causal chain.</w:t>
      </w:r>
    </w:p>
    <w:p>
      <w:pPr>
        <w:pStyle w:val="Heading2"/>
        <w:spacing w:before="300" w:after="150"/>
      </w:pPr>
      <w:r>
        <w:rPr>
          <w:rFonts w:ascii="Arial" w:cs="Arial" w:eastAsia="Arial" w:hAnsi="Arial"/>
          <w:b/>
          <w:bCs/>
          <w:color w:val="2E75B6"/>
          <w:sz w:val="24"/>
          <w:szCs w:val="24"/>
        </w:rPr>
        <w:t xml:space="preserve">1.2 Why TTF specifically?</w:t>
      </w:r>
    </w:p>
    <w:p>
      <w:pPr>
        <w:spacing w:after="120" w:line="276"/>
      </w:pPr>
      <w:r>
        <w:rPr>
          <w:rFonts w:ascii="Arial" w:cs="Arial" w:eastAsia="Arial" w:hAnsi="Arial"/>
          <w:b w:val="false"/>
          <w:bCs w:val="false"/>
          <w:i w:val="false"/>
          <w:iCs w:val="false"/>
          <w:color w:val="000000"/>
          <w:sz w:val="20"/>
          <w:szCs w:val="20"/>
        </w:rPr>
        <w:t xml:space="preserve">TTF is the European benchmark, but it has specific characteristics that shape the model architecture:</w:t>
      </w:r>
    </w:p>
    <w:p>
      <w:pPr>
        <w:pStyle w:val="ListParagraph"/>
        <w:numPr>
          <w:ilvl w:val="0"/>
          <w:numId w:val="2"/>
        </w:numPr>
        <w:spacing w:after="80" w:line="276"/>
      </w:pPr>
      <w:r>
        <w:rPr>
          <w:rFonts w:ascii="Arial" w:cs="Arial" w:eastAsia="Arial" w:hAnsi="Arial"/>
          <w:b/>
          <w:bCs/>
          <w:sz w:val="20"/>
          <w:szCs w:val="20"/>
        </w:rPr>
        <w:t xml:space="preserve">Virtual hub:</w:t>
      </w:r>
      <w:r>
        <w:rPr>
          <w:rFonts w:ascii="Arial" w:cs="Arial" w:eastAsia="Arial" w:hAnsi="Arial"/>
          <w:sz w:val="20"/>
          <w:szCs w:val="20"/>
        </w:rPr>
        <w:t xml:space="preserve"> TTF is a notional delivery point on the Dutch grid, so physical delivery constraints at TTF itself are less relevant than system-wide European balance.</w:t>
      </w:r>
    </w:p>
    <w:p>
      <w:pPr>
        <w:pStyle w:val="ListParagraph"/>
        <w:numPr>
          <w:ilvl w:val="0"/>
          <w:numId w:val="2"/>
        </w:numPr>
        <w:spacing w:after="80" w:line="276"/>
      </w:pPr>
      <w:r>
        <w:rPr>
          <w:rFonts w:ascii="Arial" w:cs="Arial" w:eastAsia="Arial" w:hAnsi="Arial"/>
          <w:b/>
          <w:bCs/>
          <w:sz w:val="20"/>
          <w:szCs w:val="20"/>
        </w:rPr>
        <w:t xml:space="preserve">LNG marginal pricing:</w:t>
      </w:r>
      <w:r>
        <w:rPr>
          <w:rFonts w:ascii="Arial" w:cs="Arial" w:eastAsia="Arial" w:hAnsi="Arial"/>
          <w:sz w:val="20"/>
          <w:szCs w:val="20"/>
        </w:rPr>
        <w:t xml:space="preserve"> Post-2022, with Russian pipeline supply largely removed, LNG has become the marginal molecule for Europe. This means TTF pricing is fundamentally linked to global LNG market dynamics.</w:t>
      </w:r>
    </w:p>
    <w:p>
      <w:pPr>
        <w:pStyle w:val="ListParagraph"/>
        <w:numPr>
          <w:ilvl w:val="0"/>
          <w:numId w:val="2"/>
        </w:numPr>
        <w:spacing w:after="80" w:line="276"/>
      </w:pPr>
      <w:r>
        <w:rPr>
          <w:rFonts w:ascii="Arial" w:cs="Arial" w:eastAsia="Arial" w:hAnsi="Arial"/>
          <w:b/>
          <w:bCs/>
          <w:sz w:val="20"/>
          <w:szCs w:val="20"/>
        </w:rPr>
        <w:t xml:space="preserve">Storage as a shock absorber:</w:t>
      </w:r>
      <w:r>
        <w:rPr>
          <w:rFonts w:ascii="Arial" w:cs="Arial" w:eastAsia="Arial" w:hAnsi="Arial"/>
          <w:sz w:val="20"/>
          <w:szCs w:val="20"/>
        </w:rPr>
        <w:t xml:space="preserve"> European storage plays a dual role as both supply source and demand source, creating complex intra-annual dynamics that a simple annual model would miss.</w:t>
      </w:r>
    </w:p>
    <w:p>
      <w:pPr>
        <w:pStyle w:val="ListParagraph"/>
        <w:numPr>
          <w:ilvl w:val="0"/>
          <w:numId w:val="2"/>
        </w:numPr>
        <w:spacing w:after="80" w:line="276"/>
      </w:pPr>
      <w:r>
        <w:rPr>
          <w:rFonts w:ascii="Arial" w:cs="Arial" w:eastAsia="Arial" w:hAnsi="Arial"/>
          <w:b/>
          <w:bCs/>
          <w:sz w:val="20"/>
          <w:szCs w:val="20"/>
        </w:rPr>
        <w:t xml:space="preserve">Cross-commodity linkages:</w:t>
      </w:r>
      <w:r>
        <w:rPr>
          <w:rFonts w:ascii="Arial" w:cs="Arial" w:eastAsia="Arial" w:hAnsi="Arial"/>
          <w:sz w:val="20"/>
          <w:szCs w:val="20"/>
        </w:rPr>
        <w:t xml:space="preserve"> Gas-to-coal switching in power generation creates a direct link between TTF, EU ETS carbon, and API2 coal prices. Oil indexation persists in some legacy contracts.</w:t>
      </w:r>
    </w:p>
    <w:p>
      <w:pPr>
        <w:pStyle w:val="Heading2"/>
        <w:spacing w:before="300" w:after="150"/>
      </w:pPr>
      <w:r>
        <w:rPr>
          <w:rFonts w:ascii="Arial" w:cs="Arial" w:eastAsia="Arial" w:hAnsi="Arial"/>
          <w:b/>
          <w:bCs/>
          <w:color w:val="2E75B6"/>
          <w:sz w:val="24"/>
          <w:szCs w:val="24"/>
        </w:rPr>
        <w:t xml:space="preserve">1.3 The decision to focus on supply side</w:t>
      </w:r>
    </w:p>
    <w:p>
      <w:pPr>
        <w:spacing w:after="120" w:line="276"/>
      </w:pPr>
      <w:r>
        <w:rPr>
          <w:rFonts w:ascii="Arial" w:cs="Arial" w:eastAsia="Arial" w:hAnsi="Arial"/>
          <w:b w:val="false"/>
          <w:bCs w:val="false"/>
          <w:i w:val="false"/>
          <w:iCs w:val="false"/>
          <w:color w:val="000000"/>
          <w:sz w:val="20"/>
          <w:szCs w:val="20"/>
        </w:rPr>
        <w:t xml:space="preserve">The user specifically asked to develop the supply-side drivers further. This was the right instinct. In the current European gas market, supply-side uncertainty dominates demand-side uncertainty. Demand is relatively predictable (weather is the main variable, and industrial demand has structurally declined post-2022). Supply, by contrast, depends on Norwegian maintenance schedules, global LNG project timelines, geopolitical decisions about Russian gas, and storage policy. The supply stack is where the analytical value lies.</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2. Supply Source Decomposition</w:t>
      </w:r>
    </w:p>
    <w:p>
      <w:pPr>
        <w:spacing w:after="120" w:line="276"/>
      </w:pPr>
      <w:r>
        <w:rPr>
          <w:rFonts w:ascii="Arial" w:cs="Arial" w:eastAsia="Arial" w:hAnsi="Arial"/>
          <w:b w:val="false"/>
          <w:bCs w:val="false"/>
          <w:i w:val="false"/>
          <w:iCs w:val="false"/>
          <w:color w:val="000000"/>
          <w:sz w:val="20"/>
          <w:szCs w:val="20"/>
        </w:rPr>
        <w:t xml:space="preserve">The first major design decision was how to decompose European gas supply into modellable components. I settled on seven distinct supply sources, each with different marginal cost characteristics, reliability profiles, and modelling requirements.</w:t>
      </w:r>
    </w:p>
    <w:p>
      <w:pPr>
        <w:pStyle w:val="Heading2"/>
        <w:spacing w:before="300" w:after="150"/>
      </w:pPr>
      <w:r>
        <w:rPr>
          <w:rFonts w:ascii="Arial" w:cs="Arial" w:eastAsia="Arial" w:hAnsi="Arial"/>
          <w:b/>
          <w:bCs/>
          <w:color w:val="2E75B6"/>
          <w:sz w:val="24"/>
          <w:szCs w:val="24"/>
        </w:rPr>
        <w:t xml:space="preserve">2.1 Norwegian Pipeline (Stack Position #1)</w:t>
      </w:r>
    </w:p>
    <w:p>
      <w:pPr>
        <w:spacing w:before="200" w:after="100"/>
      </w:pPr>
      <w:r>
        <w:rPr>
          <w:rFonts w:ascii="Arial" w:cs="Arial" w:eastAsia="Arial" w:hAnsi="Arial"/>
          <w:b/>
          <w:bCs/>
          <w:color w:val="000000"/>
          <w:sz w:val="22"/>
          <w:szCs w:val="22"/>
        </w:rPr>
        <w:t xml:space="preserve">Why field-by-field?</w:t>
      </w:r>
    </w:p>
    <w:p>
      <w:pPr>
        <w:spacing w:after="120" w:line="276"/>
      </w:pPr>
      <w:r>
        <w:rPr>
          <w:rFonts w:ascii="Arial" w:cs="Arial" w:eastAsia="Arial" w:hAnsi="Arial"/>
          <w:b w:val="false"/>
          <w:bCs w:val="false"/>
          <w:i w:val="false"/>
          <w:iCs w:val="false"/>
          <w:color w:val="000000"/>
          <w:sz w:val="20"/>
          <w:szCs w:val="20"/>
        </w:rPr>
        <w:t xml:space="preserve">Norway is modelled at the individual field level rather than as a single aggregate for several reasons. First, each major field (Troll, Ormen Lange, etc.) has a distinct decline profile. Troll is on an extended plateau via Phase 3; Gjoa is declining at 7% per year. Aggregating these into a single decline rate would mask important compositional shifts. Second, maintenance at specific processing plants (Kollsnes, Nyhamna, Karstoe) affects different fields differently, so outage modelling requires knowing which fields feed which plants.</w:t>
      </w:r>
    </w:p>
    <w:p>
      <w:pPr>
        <w:spacing w:before="200" w:after="100"/>
      </w:pPr>
      <w:r>
        <w:rPr>
          <w:rFonts w:ascii="Arial" w:cs="Arial" w:eastAsia="Arial" w:hAnsi="Arial"/>
          <w:b/>
          <w:bCs/>
          <w:color w:val="000000"/>
          <w:sz w:val="22"/>
          <w:szCs w:val="22"/>
        </w:rPr>
        <w:t xml:space="preserve">Maintenance modelling approach</w:t>
      </w:r>
    </w:p>
    <w:p>
      <w:pPr>
        <w:spacing w:after="120" w:line="276"/>
      </w:pPr>
      <w:r>
        <w:rPr>
          <w:rFonts w:ascii="Arial" w:cs="Arial" w:eastAsia="Arial" w:hAnsi="Arial"/>
          <w:b w:val="false"/>
          <w:bCs w:val="false"/>
          <w:i w:val="false"/>
          <w:iCs w:val="false"/>
          <w:color w:val="000000"/>
          <w:sz w:val="20"/>
          <w:szCs w:val="20"/>
        </w:rPr>
        <w:t xml:space="preserve">I split maintenance into three components: planned (from Gassco calendar), unplanned (historical average), and processing constraints (bottleneck allowance). The decision to model unplanned outages as a flat 3 bcm/yr is a simplification. A more sophisticated approach would use a probability distribution calibrated to historical outage frequency and severity, but for a forward curve model, the expected value is the right input. Stochastic modelling of outages belongs in a risk/scenario overlay, which is handled separately.</w:t>
      </w:r>
    </w:p>
    <w:p>
      <w:pPr>
        <w:spacing w:before="200" w:after="100"/>
      </w:pPr>
      <w:r>
        <w:rPr>
          <w:rFonts w:ascii="Arial" w:cs="Arial" w:eastAsia="Arial" w:hAnsi="Arial"/>
          <w:b/>
          <w:bCs/>
          <w:color w:val="000000"/>
          <w:sz w:val="22"/>
          <w:szCs w:val="22"/>
        </w:rPr>
        <w:t xml:space="preserve">Marginal cost assignment</w:t>
      </w:r>
    </w:p>
    <w:p>
      <w:pPr>
        <w:spacing w:after="120" w:line="276"/>
      </w:pPr>
      <w:r>
        <w:rPr>
          <w:rFonts w:ascii="Arial" w:cs="Arial" w:eastAsia="Arial" w:hAnsi="Arial"/>
          <w:b w:val="false"/>
          <w:bCs w:val="false"/>
          <w:i w:val="false"/>
          <w:iCs w:val="false"/>
          <w:color w:val="000000"/>
          <w:sz w:val="20"/>
          <w:szCs w:val="20"/>
        </w:rPr>
        <w:t xml:space="preserve">Norwegian gas is assigned the lowest marginal cost on the stack (EUR 6-7/MWh). This reflects lifting costs plus pipeline transport tariffs. The key insight is that Norwegian supply is effectively baseload: it runs at or near maximum deliverable capacity regardless of price, with the exception of very low summer prices where producers might marginally reduce output. This means Norway sets the floor of the stack but never sets the clearing price.</w:t>
      </w:r>
    </w:p>
    <w:p>
      <w:pPr>
        <w:pStyle w:val="Heading2"/>
        <w:spacing w:before="300" w:after="150"/>
      </w:pPr>
      <w:r>
        <w:rPr>
          <w:rFonts w:ascii="Arial" w:cs="Arial" w:eastAsia="Arial" w:hAnsi="Arial"/>
          <w:b/>
          <w:bCs/>
          <w:color w:val="2E75B6"/>
          <w:sz w:val="24"/>
          <w:szCs w:val="24"/>
        </w:rPr>
        <w:t xml:space="preserve">2.2 LNG Supply (Stack Position #8 / Marginal)</w:t>
      </w:r>
    </w:p>
    <w:p>
      <w:pPr>
        <w:spacing w:before="200" w:after="100"/>
      </w:pPr>
      <w:r>
        <w:rPr>
          <w:rFonts w:ascii="Arial" w:cs="Arial" w:eastAsia="Arial" w:hAnsi="Arial"/>
          <w:b/>
          <w:bCs/>
          <w:color w:val="000000"/>
          <w:sz w:val="22"/>
          <w:szCs w:val="22"/>
        </w:rPr>
        <w:t xml:space="preserve">Why LNG is the most important component</w:t>
      </w:r>
    </w:p>
    <w:p>
      <w:pPr>
        <w:spacing w:after="120" w:line="276"/>
      </w:pPr>
      <w:r>
        <w:rPr>
          <w:rFonts w:ascii="Arial" w:cs="Arial" w:eastAsia="Arial" w:hAnsi="Arial"/>
          <w:b w:val="false"/>
          <w:bCs w:val="false"/>
          <w:i w:val="false"/>
          <w:iCs w:val="false"/>
          <w:color w:val="000000"/>
          <w:sz w:val="20"/>
          <w:szCs w:val="20"/>
        </w:rPr>
        <w:t xml:space="preserve">The entire model architecture is built around the recognition that LNG is the price-setting marginal source. This was not always the case. Pre-2022, Russian pipeline gas was the swing supplier. Post-2022, with Russian volumes reduced from approximately 150 bcm/yr to under 15 bcm/yr, Europe must attract LNG cargoes from the global market. The price at which Europe outbids Asia for the marginal cargo determines TTF.</w:t>
      </w:r>
    </w:p>
    <w:p>
      <w:pPr>
        <w:spacing w:before="200" w:after="100"/>
      </w:pPr>
      <w:r>
        <w:rPr>
          <w:rFonts w:ascii="Arial" w:cs="Arial" w:eastAsia="Arial" w:hAnsi="Arial"/>
          <w:b/>
          <w:bCs/>
          <w:color w:val="000000"/>
          <w:sz w:val="22"/>
          <w:szCs w:val="22"/>
        </w:rPr>
        <w:t xml:space="preserve">The arbitrage model</w:t>
      </w:r>
    </w:p>
    <w:p>
      <w:pPr>
        <w:spacing w:after="120" w:line="276"/>
      </w:pPr>
      <w:r>
        <w:rPr>
          <w:rFonts w:ascii="Arial" w:cs="Arial" w:eastAsia="Arial" w:hAnsi="Arial"/>
          <w:b w:val="false"/>
          <w:bCs w:val="false"/>
          <w:i w:val="false"/>
          <w:iCs w:val="false"/>
          <w:color w:val="000000"/>
          <w:sz w:val="20"/>
          <w:szCs w:val="20"/>
        </w:rPr>
        <w:t xml:space="preserve">The LNG allocation to Europe is modelled as a two-step process. First, calculate total global LNG supply minus non-European demand to get the residual available for Europe. Second, constrain this by European regasification capacity and utilisation limits. The key variable is the TTF-JKM spread minus the differential in shipping costs. When JKM is at a premium wide enough to cover the extra voyage cost to Asia, cargoes divert away from Europe. This creates a supply response curve that is the most price-sensitive element of the model.</w:t>
      </w:r>
    </w:p>
    <w:p>
      <w:pPr>
        <w:spacing w:before="200" w:after="100"/>
      </w:pPr>
      <w:r>
        <w:rPr>
          <w:rFonts w:ascii="Arial" w:cs="Arial" w:eastAsia="Arial" w:hAnsi="Arial"/>
          <w:b/>
          <w:bCs/>
          <w:color w:val="000000"/>
          <w:sz w:val="22"/>
          <w:szCs w:val="22"/>
        </w:rPr>
        <w:t xml:space="preserve">Why 18 individual projects?</w:t>
      </w:r>
    </w:p>
    <w:p>
      <w:pPr>
        <w:spacing w:after="120" w:line="276"/>
      </w:pPr>
      <w:r>
        <w:rPr>
          <w:rFonts w:ascii="Arial" w:cs="Arial" w:eastAsia="Arial" w:hAnsi="Arial"/>
          <w:b w:val="false"/>
          <w:bCs w:val="false"/>
          <w:i w:val="false"/>
          <w:iCs w:val="false"/>
          <w:color w:val="000000"/>
          <w:sz w:val="20"/>
          <w:szCs w:val="20"/>
        </w:rPr>
        <w:t xml:space="preserve">Global LNG supply is modelled project-by-project rather than by country aggregate because project-level granularity captures ramp-up timing (Plaquemines, Golden Pass, Qatar NFE all have different commissioning schedules), operational reliability differences (US plants at approximately 90-95% utilisation versus some African projects at 60-70%), and sanctions impacts (Arctic LNG 2 has a fundamentally different trajectory than Yamal LNG). The aggregation to country level is done for charting, but the calculations work from project data.</w:t>
      </w:r>
    </w:p>
    <w:p>
      <w:pPr>
        <w:spacing w:before="200" w:after="100"/>
      </w:pPr>
      <w:r>
        <w:rPr>
          <w:rFonts w:ascii="Arial" w:cs="Arial" w:eastAsia="Arial" w:hAnsi="Arial"/>
          <w:b/>
          <w:bCs/>
          <w:color w:val="000000"/>
          <w:sz w:val="22"/>
          <w:szCs w:val="22"/>
        </w:rPr>
        <w:t xml:space="preserve">Regasification as a binding constraint</w:t>
      </w:r>
    </w:p>
    <w:p>
      <w:pPr>
        <w:spacing w:after="120" w:line="276"/>
      </w:pPr>
      <w:r>
        <w:rPr>
          <w:rFonts w:ascii="Arial" w:cs="Arial" w:eastAsia="Arial" w:hAnsi="Arial"/>
          <w:b w:val="false"/>
          <w:bCs w:val="false"/>
          <w:i w:val="false"/>
          <w:iCs w:val="false"/>
          <w:color w:val="000000"/>
          <w:sz w:val="20"/>
          <w:szCs w:val="20"/>
        </w:rPr>
        <w:t xml:space="preserve">I included a terminal-by-terminal regasification model because regas capacity is a genuine constraint on LNG deliverability. Europe added significant FSRU capacity post-2022 (Wilhelmshaven, Brunsbuettel, Eemshaven, etc.), but utilisation varies widely. Spanish terminals have excess capacity but limited interconnector access to Northwest Europe. German FSRUs are ramping up but not yet at full utilisation. The model captures both total capacity and effective utilisation to determine how much LNG can physically reach the TTF-relevant market.</w:t>
      </w:r>
    </w:p>
    <w:p>
      <w:pPr>
        <w:pStyle w:val="Heading2"/>
        <w:spacing w:before="300" w:after="150"/>
      </w:pPr>
      <w:r>
        <w:rPr>
          <w:rFonts w:ascii="Arial" w:cs="Arial" w:eastAsia="Arial" w:hAnsi="Arial"/>
          <w:b/>
          <w:bCs/>
          <w:color w:val="2E75B6"/>
          <w:sz w:val="24"/>
          <w:szCs w:val="24"/>
        </w:rPr>
        <w:t xml:space="preserve">2.3 Other Pipeline Sources (Stack Positions #3-6)</w:t>
      </w:r>
    </w:p>
    <w:p>
      <w:pPr>
        <w:spacing w:after="120" w:line="276"/>
      </w:pPr>
      <w:r>
        <w:rPr>
          <w:rFonts w:ascii="Arial" w:cs="Arial" w:eastAsia="Arial" w:hAnsi="Arial"/>
          <w:b w:val="false"/>
          <w:bCs w:val="false"/>
          <w:i w:val="false"/>
          <w:iCs w:val="false"/>
          <w:color w:val="000000"/>
          <w:sz w:val="20"/>
          <w:szCs w:val="20"/>
        </w:rPr>
        <w:t xml:space="preserve">Russian, Algerian, Libyan, and Azerbaijani pipeline imports are each modelled separately because they have distinct risk profiles and cost structures.</w:t>
      </w:r>
    </w:p>
    <w:p>
      <w:pPr>
        <w:pStyle w:val="ListParagraph"/>
        <w:numPr>
          <w:ilvl w:val="0"/>
          <w:numId w:val="2"/>
        </w:numPr>
        <w:spacing w:after="80" w:line="276"/>
      </w:pPr>
      <w:r>
        <w:rPr>
          <w:rFonts w:ascii="Arial" w:cs="Arial" w:eastAsia="Arial" w:hAnsi="Arial"/>
          <w:b/>
          <w:bCs/>
          <w:sz w:val="20"/>
          <w:szCs w:val="20"/>
        </w:rPr>
        <w:t xml:space="preserve">Russian supply:</w:t>
      </w:r>
      <w:r>
        <w:rPr>
          <w:rFonts w:ascii="Arial" w:cs="Arial" w:eastAsia="Arial" w:hAnsi="Arial"/>
          <w:sz w:val="20"/>
          <w:szCs w:val="20"/>
        </w:rPr>
        <w:t xml:space="preserve"> Modelled as a declining scenario variable rather than a traditional supply curve. The base case assumes gradual reduction via TurkStream. The key modelling decision was whether to treat this as a binary (on/off) or graduated. I chose graduated because even under sanction regimes, some gas continues to flow through indirect routes.</w:t>
      </w:r>
    </w:p>
    <w:p>
      <w:pPr>
        <w:pStyle w:val="ListParagraph"/>
        <w:numPr>
          <w:ilvl w:val="0"/>
          <w:numId w:val="2"/>
        </w:numPr>
        <w:spacing w:after="80" w:line="276"/>
      </w:pPr>
      <w:r>
        <w:rPr>
          <w:rFonts w:ascii="Arial" w:cs="Arial" w:eastAsia="Arial" w:hAnsi="Arial"/>
          <w:b/>
          <w:bCs/>
          <w:sz w:val="20"/>
          <w:szCs w:val="20"/>
        </w:rPr>
        <w:t xml:space="preserve">Algerian supply:</w:t>
      </w:r>
      <w:r>
        <w:rPr>
          <w:rFonts w:ascii="Arial" w:cs="Arial" w:eastAsia="Arial" w:hAnsi="Arial"/>
          <w:sz w:val="20"/>
          <w:szCs w:val="20"/>
        </w:rPr>
        <w:t xml:space="preserve"> Subject to upstream production uncertainty and domestic demand competition. The declining trajectory reflects Sonatrach allocation decisions and growing Algerian domestic consumption, not reservoir decline.</w:t>
      </w:r>
    </w:p>
    <w:p>
      <w:pPr>
        <w:pStyle w:val="ListParagraph"/>
        <w:numPr>
          <w:ilvl w:val="0"/>
          <w:numId w:val="2"/>
        </w:numPr>
        <w:spacing w:after="80" w:line="276"/>
      </w:pPr>
      <w:r>
        <w:rPr>
          <w:rFonts w:ascii="Arial" w:cs="Arial" w:eastAsia="Arial" w:hAnsi="Arial"/>
          <w:b/>
          <w:bCs/>
          <w:sz w:val="20"/>
          <w:szCs w:val="20"/>
        </w:rPr>
        <w:t xml:space="preserve">Azerbaijani supply:</w:t>
      </w:r>
      <w:r>
        <w:rPr>
          <w:rFonts w:ascii="Arial" w:cs="Arial" w:eastAsia="Arial" w:hAnsi="Arial"/>
          <w:sz w:val="20"/>
          <w:szCs w:val="20"/>
        </w:rPr>
        <w:t xml:space="preserve"> Small but stable. The TAP/TANAP pipeline has expansion potential but this is post-2028 at the earliest.</w:t>
      </w:r>
    </w:p>
    <w:p>
      <w:pPr>
        <w:pStyle w:val="ListParagraph"/>
        <w:numPr>
          <w:ilvl w:val="0"/>
          <w:numId w:val="2"/>
        </w:numPr>
        <w:spacing w:after="80" w:line="276"/>
      </w:pPr>
      <w:r>
        <w:rPr>
          <w:rFonts w:ascii="Arial" w:cs="Arial" w:eastAsia="Arial" w:hAnsi="Arial"/>
          <w:b/>
          <w:bCs/>
          <w:sz w:val="20"/>
          <w:szCs w:val="20"/>
        </w:rPr>
        <w:t xml:space="preserve">Libyan supply:</w:t>
      </w:r>
      <w:r>
        <w:rPr>
          <w:rFonts w:ascii="Arial" w:cs="Arial" w:eastAsia="Arial" w:hAnsi="Arial"/>
          <w:sz w:val="20"/>
          <w:szCs w:val="20"/>
        </w:rPr>
        <w:t xml:space="preserve"> Modelled at a flat low level (3 bcm) reflecting chronic political instability. This is essentially a risk premium rather than a fundamental forecast.</w:t>
      </w:r>
    </w:p>
    <w:p>
      <w:pPr>
        <w:pStyle w:val="Heading2"/>
        <w:spacing w:before="300" w:after="150"/>
      </w:pPr>
      <w:r>
        <w:rPr>
          <w:rFonts w:ascii="Arial" w:cs="Arial" w:eastAsia="Arial" w:hAnsi="Arial"/>
          <w:b/>
          <w:bCs/>
          <w:color w:val="2E75B6"/>
          <w:sz w:val="24"/>
          <w:szCs w:val="24"/>
        </w:rPr>
        <w:t xml:space="preserve">2.4 Indigenous EU Production (Stack Position #2)</w:t>
      </w:r>
    </w:p>
    <w:p>
      <w:pPr>
        <w:spacing w:after="120" w:line="276"/>
      </w:pPr>
      <w:r>
        <w:rPr>
          <w:rFonts w:ascii="Arial" w:cs="Arial" w:eastAsia="Arial" w:hAnsi="Arial"/>
          <w:b w:val="false"/>
          <w:bCs w:val="false"/>
          <w:i w:val="false"/>
          <w:iCs w:val="false"/>
          <w:color w:val="000000"/>
          <w:sz w:val="20"/>
          <w:szCs w:val="20"/>
        </w:rPr>
        <w:t xml:space="preserve">EU domestic production is modelled as a declining baseline plus two upside components: Romanian Neptun Deep (Black Sea, expected around 2027-2028) and biomethane (growing under EU policy support). The UKCS is included because UK gas reaches TTF via the IUK and BBL interconnectors, making it economically part of the TTF supply pool even though the UK is not in the EU.</w:t>
      </w:r>
    </w:p>
    <w:p>
      <w:pPr>
        <w:pStyle w:val="Heading2"/>
        <w:spacing w:before="300" w:after="150"/>
      </w:pPr>
      <w:r>
        <w:rPr>
          <w:rFonts w:ascii="Arial" w:cs="Arial" w:eastAsia="Arial" w:hAnsi="Arial"/>
          <w:b/>
          <w:bCs/>
          <w:color w:val="2E75B6"/>
          <w:sz w:val="24"/>
          <w:szCs w:val="24"/>
        </w:rPr>
        <w:t xml:space="preserve">2.5 Storage (Stack Position #7)</w:t>
      </w:r>
    </w:p>
    <w:p>
      <w:pPr>
        <w:spacing w:before="200" w:after="100"/>
      </w:pPr>
      <w:r>
        <w:rPr>
          <w:rFonts w:ascii="Arial" w:cs="Arial" w:eastAsia="Arial" w:hAnsi="Arial"/>
          <w:b/>
          <w:bCs/>
          <w:color w:val="000000"/>
          <w:sz w:val="22"/>
          <w:szCs w:val="22"/>
        </w:rPr>
        <w:t xml:space="preserve">Why storage is special</w:t>
      </w:r>
    </w:p>
    <w:p>
      <w:pPr>
        <w:spacing w:after="120" w:line="276"/>
      </w:pPr>
      <w:r>
        <w:rPr>
          <w:rFonts w:ascii="Arial" w:cs="Arial" w:eastAsia="Arial" w:hAnsi="Arial"/>
          <w:b w:val="false"/>
          <w:bCs w:val="false"/>
          <w:i w:val="false"/>
          <w:iCs w:val="false"/>
          <w:color w:val="000000"/>
          <w:sz w:val="20"/>
          <w:szCs w:val="20"/>
        </w:rPr>
        <w:t xml:space="preserve">Storage is the only supply source whose cost is an opportunity cost rather than a cash cost. The marginal cost of withdrawing stored gas is not the price at which it was injected, but the expected future price minus the current price. This makes storage inherently forward-looking and creates a complex interaction between storage and the rest of the stack. I assigned storage an opportunity cost of EUR 28-32/MWh, which positions it above pipeline imports but below LNG. This reflects the typical summer-winter spread that incentivises storage cycling.</w:t>
      </w:r>
    </w:p>
    <w:p>
      <w:pPr>
        <w:spacing w:before="200" w:after="100"/>
      </w:pPr>
      <w:r>
        <w:rPr>
          <w:rFonts w:ascii="Arial" w:cs="Arial" w:eastAsia="Arial" w:hAnsi="Arial"/>
          <w:b/>
          <w:bCs/>
          <w:color w:val="000000"/>
          <w:sz w:val="22"/>
          <w:szCs w:val="22"/>
        </w:rPr>
        <w:t xml:space="preserve">Monthly profile modelling</w:t>
      </w:r>
    </w:p>
    <w:p>
      <w:pPr>
        <w:spacing w:after="120" w:line="276"/>
      </w:pPr>
      <w:r>
        <w:rPr>
          <w:rFonts w:ascii="Arial" w:cs="Arial" w:eastAsia="Arial" w:hAnsi="Arial"/>
          <w:b w:val="false"/>
          <w:bCs w:val="false"/>
          <w:i w:val="false"/>
          <w:iCs w:val="false"/>
          <w:color w:val="000000"/>
          <w:sz w:val="20"/>
          <w:szCs w:val="20"/>
        </w:rPr>
        <w:t xml:space="preserve">The simplified monthly profile uses a three-phase approach: winter withdrawal (January-March), summer injection (April-October), and early winter withdrawal (November-December). This captures the essential seasonal shape without requiring a full 365-day optimisation model. The EU 90% fill mandate creates a floor on summer injection demand regardless of price, which is an important structural feature.</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3. Clearing Price Derivation</w:t>
      </w:r>
    </w:p>
    <w:p>
      <w:pPr>
        <w:spacing w:after="120" w:line="276"/>
      </w:pPr>
      <w:r>
        <w:rPr>
          <w:rFonts w:ascii="Arial" w:cs="Arial" w:eastAsia="Arial" w:hAnsi="Arial"/>
          <w:b w:val="false"/>
          <w:bCs w:val="false"/>
          <w:i w:val="false"/>
          <w:iCs w:val="false"/>
          <w:color w:val="000000"/>
          <w:sz w:val="20"/>
          <w:szCs w:val="20"/>
        </w:rPr>
        <w:t xml:space="preserve">The implied TTF price is not simply the LNG marginal cost. It is derived from four components:</w:t>
      </w:r>
    </w:p>
    <w:p>
      <w:pPr>
        <w:pStyle w:val="Heading2"/>
        <w:spacing w:before="300" w:after="150"/>
      </w:pPr>
      <w:r>
        <w:rPr>
          <w:rFonts w:ascii="Arial" w:cs="Arial" w:eastAsia="Arial" w:hAnsi="Arial"/>
          <w:b/>
          <w:bCs/>
          <w:color w:val="2E75B6"/>
          <w:sz w:val="24"/>
          <w:szCs w:val="24"/>
        </w:rPr>
        <w:t xml:space="preserve">3.1 LNG marginal cost (base)</w:t>
      </w:r>
    </w:p>
    <w:p>
      <w:pPr>
        <w:spacing w:after="120" w:line="276"/>
      </w:pPr>
      <w:r>
        <w:rPr>
          <w:rFonts w:ascii="Arial" w:cs="Arial" w:eastAsia="Arial" w:hAnsi="Arial"/>
          <w:b w:val="false"/>
          <w:bCs w:val="false"/>
          <w:i w:val="false"/>
          <w:iCs w:val="false"/>
          <w:color w:val="000000"/>
          <w:sz w:val="20"/>
          <w:szCs w:val="20"/>
        </w:rPr>
        <w:t xml:space="preserve">This is the starting point: the delivered cost of the marginal LNG cargo to Europe. It declines over the forecast period as new liquefaction capacity (Qatar NFE, US Gulf Coast expansions) comes online and global supply loosens.</w:t>
      </w:r>
    </w:p>
    <w:p>
      <w:pPr>
        <w:pStyle w:val="Heading2"/>
        <w:spacing w:before="300" w:after="150"/>
      </w:pPr>
      <w:r>
        <w:rPr>
          <w:rFonts w:ascii="Arial" w:cs="Arial" w:eastAsia="Arial" w:hAnsi="Arial"/>
          <w:b/>
          <w:bCs/>
          <w:color w:val="2E75B6"/>
          <w:sz w:val="24"/>
          <w:szCs w:val="24"/>
        </w:rPr>
        <w:t xml:space="preserve">3.2 Supply-demand balance adjustment</w:t>
      </w:r>
    </w:p>
    <w:p>
      <w:pPr>
        <w:spacing w:after="120" w:line="276"/>
      </w:pPr>
      <w:r>
        <w:rPr>
          <w:rFonts w:ascii="Arial" w:cs="Arial" w:eastAsia="Arial" w:hAnsi="Arial"/>
          <w:b w:val="false"/>
          <w:bCs w:val="false"/>
          <w:i w:val="false"/>
          <w:iCs w:val="false"/>
          <w:color w:val="000000"/>
          <w:sz w:val="20"/>
          <w:szCs w:val="20"/>
        </w:rPr>
        <w:t xml:space="preserve">The tighter the market (larger deficit), the higher the premium above LNG marginal cost. I used a linear coefficient of 0.15 EUR/MWh per bcm of deficit. This is a simplification of what is actually a non-linear relationship. In reality, the premium accelerates as the deficit widens because Europe must bid progressively higher to attract cargoes from increasingly price-insensitive Asian buyers. A more sophisticated model would use a convex function, but the linear approximation works for the base case range.</w:t>
      </w:r>
    </w:p>
    <w:p>
      <w:pPr>
        <w:pStyle w:val="Heading2"/>
        <w:spacing w:before="300" w:after="150"/>
      </w:pPr>
      <w:r>
        <w:rPr>
          <w:rFonts w:ascii="Arial" w:cs="Arial" w:eastAsia="Arial" w:hAnsi="Arial"/>
          <w:b/>
          <w:bCs/>
          <w:color w:val="2E75B6"/>
          <w:sz w:val="24"/>
          <w:szCs w:val="24"/>
        </w:rPr>
        <w:t xml:space="preserve">3.3 Carbon cost pass-through</w:t>
      </w:r>
    </w:p>
    <w:p>
      <w:pPr>
        <w:spacing w:after="120" w:line="276"/>
      </w:pPr>
      <w:r>
        <w:rPr>
          <w:rFonts w:ascii="Arial" w:cs="Arial" w:eastAsia="Arial" w:hAnsi="Arial"/>
          <w:b w:val="false"/>
          <w:bCs w:val="false"/>
          <w:i w:val="false"/>
          <w:iCs w:val="false"/>
          <w:color w:val="000000"/>
          <w:sz w:val="20"/>
          <w:szCs w:val="20"/>
        </w:rPr>
        <w:t xml:space="preserve">EU ETS carbon prices affect TTF through the gas-to-coal switching dynamic. Higher carbon prices make coal-fired generation more expensive, increasing gas demand in the power sector and pushing up TTF. The pass-through coefficient (0.055) reflects the incremental CO2 cost of gas-fired versus coal-fired generation per MWh of gas consumed.</w:t>
      </w:r>
    </w:p>
    <w:p>
      <w:pPr>
        <w:pStyle w:val="Heading2"/>
        <w:spacing w:before="300" w:after="150"/>
      </w:pPr>
      <w:r>
        <w:rPr>
          <w:rFonts w:ascii="Arial" w:cs="Arial" w:eastAsia="Arial" w:hAnsi="Arial"/>
          <w:b/>
          <w:bCs/>
          <w:color w:val="2E75B6"/>
          <w:sz w:val="24"/>
          <w:szCs w:val="24"/>
        </w:rPr>
        <w:t xml:space="preserve">3.4 Seasonality adjustment</w:t>
      </w:r>
    </w:p>
    <w:p>
      <w:pPr>
        <w:spacing w:after="120" w:line="276"/>
      </w:pPr>
      <w:r>
        <w:rPr>
          <w:rFonts w:ascii="Arial" w:cs="Arial" w:eastAsia="Arial" w:hAnsi="Arial"/>
          <w:b w:val="false"/>
          <w:bCs w:val="false"/>
          <w:i w:val="false"/>
          <w:iCs w:val="false"/>
          <w:color w:val="000000"/>
          <w:sz w:val="20"/>
          <w:szCs w:val="20"/>
        </w:rPr>
        <w:t xml:space="preserve">A flat EUR 5/MWh winter premium is included to reflect the structural seasonal shape. In reality, this would vary by delivery month, but for an annual average forward curve, a fixed premium is a reasonable approximation. The winter premium captures heating demand concentration, storage withdrawal costs, and reduced supply flexibility.</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4. Output Design Decisions</w:t>
      </w:r>
    </w:p>
    <w:p>
      <w:pPr>
        <w:pStyle w:val="Heading2"/>
        <w:spacing w:before="300" w:after="150"/>
      </w:pPr>
      <w:r>
        <w:rPr>
          <w:rFonts w:ascii="Arial" w:cs="Arial" w:eastAsia="Arial" w:hAnsi="Arial"/>
          <w:b/>
          <w:bCs/>
          <w:color w:val="2E75B6"/>
          <w:sz w:val="24"/>
          <w:szCs w:val="24"/>
        </w:rPr>
        <w:t xml:space="preserve">4.1 Why four deliverables?</w:t>
      </w:r>
    </w:p>
    <w:p>
      <w:pPr>
        <w:spacing w:after="120" w:line="276"/>
      </w:pPr>
      <w:r>
        <w:rPr>
          <w:rFonts w:ascii="Arial" w:cs="Arial" w:eastAsia="Arial" w:hAnsi="Arial"/>
          <w:b w:val="false"/>
          <w:bCs w:val="false"/>
          <w:i w:val="false"/>
          <w:iCs w:val="false"/>
          <w:color w:val="000000"/>
          <w:sz w:val="20"/>
          <w:szCs w:val="20"/>
        </w:rPr>
        <w:t xml:space="preserve">The user progressed through a natural analytical workflow, and each deliverable serves a distinct purpose:</w:t>
      </w:r>
    </w:p>
    <w:p>
      <w:pPr>
        <w:pStyle w:val="ListParagraph"/>
        <w:numPr>
          <w:ilvl w:val="0"/>
          <w:numId w:val="2"/>
        </w:numPr>
        <w:spacing w:after="80" w:line="276"/>
      </w:pPr>
      <w:r>
        <w:rPr>
          <w:rFonts w:ascii="Arial" w:cs="Arial" w:eastAsia="Arial" w:hAnsi="Arial"/>
          <w:b/>
          <w:bCs/>
          <w:sz w:val="20"/>
          <w:szCs w:val="20"/>
        </w:rPr>
        <w:t xml:space="preserve">Excel workbook:</w:t>
      </w:r>
      <w:r>
        <w:rPr>
          <w:rFonts w:ascii="Arial" w:cs="Arial" w:eastAsia="Arial" w:hAnsi="Arial"/>
          <w:sz w:val="20"/>
          <w:szCs w:val="20"/>
        </w:rPr>
        <w:t xml:space="preserve"> The canonical model. Formula-linked, auditable, colour-coded by input type. This is what a trading desk would use for day-to-day analysis. Blue cells for inputs, black for formulas, green for cross-sheet links. Seven tabs mirror the seven analytical components.</w:t>
      </w:r>
    </w:p>
    <w:p>
      <w:pPr>
        <w:pStyle w:val="ListParagraph"/>
        <w:numPr>
          <w:ilvl w:val="0"/>
          <w:numId w:val="2"/>
        </w:numPr>
        <w:spacing w:after="80" w:line="276"/>
      </w:pPr>
      <w:r>
        <w:rPr>
          <w:rFonts w:ascii="Arial" w:cs="Arial" w:eastAsia="Arial" w:hAnsi="Arial"/>
          <w:b/>
          <w:bCs/>
          <w:sz w:val="20"/>
          <w:szCs w:val="20"/>
        </w:rPr>
        <w:t xml:space="preserve">Python engine:</w:t>
      </w:r>
      <w:r>
        <w:rPr>
          <w:rFonts w:ascii="Arial" w:cs="Arial" w:eastAsia="Arial" w:hAnsi="Arial"/>
          <w:sz w:val="20"/>
          <w:szCs w:val="20"/>
        </w:rPr>
        <w:t xml:space="preserve"> The calculation backend. Dataclass architecture makes the model programmatically accessible. JSON export enables any frontend to consume the model state. No dependencies beyond the standard library, making it deployable anywhere.</w:t>
      </w:r>
    </w:p>
    <w:p>
      <w:pPr>
        <w:pStyle w:val="ListParagraph"/>
        <w:numPr>
          <w:ilvl w:val="0"/>
          <w:numId w:val="2"/>
        </w:numPr>
        <w:spacing w:after="80" w:line="276"/>
      </w:pPr>
      <w:r>
        <w:rPr>
          <w:rFonts w:ascii="Arial" w:cs="Arial" w:eastAsia="Arial" w:hAnsi="Arial"/>
          <w:b/>
          <w:bCs/>
          <w:sz w:val="20"/>
          <w:szCs w:val="20"/>
        </w:rPr>
        <w:t xml:space="preserve">React dashboard:</w:t>
      </w:r>
      <w:r>
        <w:rPr>
          <w:rFonts w:ascii="Arial" w:cs="Arial" w:eastAsia="Arial" w:hAnsi="Arial"/>
          <w:sz w:val="20"/>
          <w:szCs w:val="20"/>
        </w:rPr>
        <w:t xml:space="preserve"> The presentation layer. Seven interactive tabs with year-selector, dark-themed for trading floor aesthetics. Recharts for charting. Designed to be dropped into any React project or rendered as a standalone artifact.</w:t>
      </w:r>
    </w:p>
    <w:p>
      <w:pPr>
        <w:pStyle w:val="ListParagraph"/>
        <w:numPr>
          <w:ilvl w:val="0"/>
          <w:numId w:val="2"/>
        </w:numPr>
        <w:spacing w:after="80" w:line="276"/>
      </w:pPr>
      <w:r>
        <w:rPr>
          <w:rFonts w:ascii="Arial" w:cs="Arial" w:eastAsia="Arial" w:hAnsi="Arial"/>
          <w:b/>
          <w:bCs/>
          <w:sz w:val="20"/>
          <w:szCs w:val="20"/>
        </w:rPr>
        <w:t xml:space="preserve">Jupyter notebook:</w:t>
      </w:r>
      <w:r>
        <w:rPr>
          <w:rFonts w:ascii="Arial" w:cs="Arial" w:eastAsia="Arial" w:hAnsi="Arial"/>
          <w:sz w:val="20"/>
          <w:szCs w:val="20"/>
        </w:rPr>
        <w:t xml:space="preserve"> The analytical narrative. Combines code, calculations, charts, and explanatory text in a single document. Self-contained (all data embedded), runs with just numpy/pandas/matplotlib. This is the format for sharing the analysis with colleagues who want to understand and modify the model.</w:t>
      </w:r>
    </w:p>
    <w:p>
      <w:pPr>
        <w:pStyle w:val="Heading2"/>
        <w:spacing w:before="300" w:after="150"/>
      </w:pPr>
      <w:r>
        <w:rPr>
          <w:rFonts w:ascii="Arial" w:cs="Arial" w:eastAsia="Arial" w:hAnsi="Arial"/>
          <w:b/>
          <w:bCs/>
          <w:color w:val="2E75B6"/>
          <w:sz w:val="24"/>
          <w:szCs w:val="24"/>
        </w:rPr>
        <w:t xml:space="preserve">4.2 Chart selection rationale</w:t>
      </w:r>
    </w:p>
    <w:p>
      <w:pPr>
        <w:spacing w:after="120" w:line="276"/>
      </w:pPr>
      <w:r>
        <w:rPr>
          <w:rFonts w:ascii="Arial" w:cs="Arial" w:eastAsia="Arial" w:hAnsi="Arial"/>
          <w:b w:val="false"/>
          <w:bCs w:val="false"/>
          <w:i w:val="false"/>
          <w:iCs w:val="false"/>
          <w:color w:val="000000"/>
          <w:sz w:val="20"/>
          <w:szCs w:val="20"/>
        </w:rPr>
        <w:t xml:space="preserve">Each chart type was chosen for a specific analytical purpose:</w:t>
      </w:r>
    </w:p>
    <w:p>
      <w:pPr>
        <w:pStyle w:val="ListParagraph"/>
        <w:numPr>
          <w:ilvl w:val="0"/>
          <w:numId w:val="2"/>
        </w:numPr>
        <w:spacing w:after="80" w:line="276"/>
      </w:pPr>
      <w:r>
        <w:rPr>
          <w:rFonts w:ascii="Arial" w:cs="Arial" w:eastAsia="Arial" w:hAnsi="Arial"/>
          <w:b/>
          <w:bCs/>
          <w:sz w:val="20"/>
          <w:szCs w:val="20"/>
        </w:rPr>
        <w:t xml:space="preserve">Stacked bars:</w:t>
      </w:r>
      <w:r>
        <w:rPr>
          <w:rFonts w:ascii="Arial" w:cs="Arial" w:eastAsia="Arial" w:hAnsi="Arial"/>
          <w:sz w:val="20"/>
          <w:szCs w:val="20"/>
        </w:rPr>
        <w:t xml:space="preserve"> Supply composition by source and year. Shows both total supply and its composition at a glance.</w:t>
      </w:r>
    </w:p>
    <w:p>
      <w:pPr>
        <w:pStyle w:val="ListParagraph"/>
        <w:numPr>
          <w:ilvl w:val="0"/>
          <w:numId w:val="2"/>
        </w:numPr>
        <w:spacing w:after="80" w:line="276"/>
      </w:pPr>
      <w:r>
        <w:rPr>
          <w:rFonts w:ascii="Arial" w:cs="Arial" w:eastAsia="Arial" w:hAnsi="Arial"/>
          <w:b/>
          <w:bCs/>
          <w:sz w:val="20"/>
          <w:szCs w:val="20"/>
        </w:rPr>
        <w:t xml:space="preserve">Merit order curve:</w:t>
      </w:r>
      <w:r>
        <w:rPr>
          <w:rFonts w:ascii="Arial" w:cs="Arial" w:eastAsia="Arial" w:hAnsi="Arial"/>
          <w:sz w:val="20"/>
          <w:szCs w:val="20"/>
        </w:rPr>
        <w:t xml:space="preserve"> The core analytical chart. Horizontal bars sorted by marginal cost with a demand line. Visually shows which source is marginal and how much spare capacity exists.</w:t>
      </w:r>
    </w:p>
    <w:p>
      <w:pPr>
        <w:pStyle w:val="ListParagraph"/>
        <w:numPr>
          <w:ilvl w:val="0"/>
          <w:numId w:val="2"/>
        </w:numPr>
        <w:spacing w:after="80" w:line="276"/>
      </w:pPr>
      <w:r>
        <w:rPr>
          <w:rFonts w:ascii="Arial" w:cs="Arial" w:eastAsia="Arial" w:hAnsi="Arial"/>
          <w:b/>
          <w:bCs/>
          <w:sz w:val="20"/>
          <w:szCs w:val="20"/>
        </w:rPr>
        <w:t xml:space="preserve">Pie charts:</w:t>
      </w:r>
      <w:r>
        <w:rPr>
          <w:rFonts w:ascii="Arial" w:cs="Arial" w:eastAsia="Arial" w:hAnsi="Arial"/>
          <w:sz w:val="20"/>
          <w:szCs w:val="20"/>
        </w:rPr>
        <w:t xml:space="preserve"> LNG supply by country. Shows concentration risk (how much depends on US and Qatar).</w:t>
      </w:r>
    </w:p>
    <w:p>
      <w:pPr>
        <w:pStyle w:val="ListParagraph"/>
        <w:numPr>
          <w:ilvl w:val="0"/>
          <w:numId w:val="2"/>
        </w:numPr>
        <w:spacing w:after="80" w:line="276"/>
      </w:pPr>
      <w:r>
        <w:rPr>
          <w:rFonts w:ascii="Arial" w:cs="Arial" w:eastAsia="Arial" w:hAnsi="Arial"/>
          <w:b/>
          <w:bCs/>
          <w:sz w:val="20"/>
          <w:szCs w:val="20"/>
        </w:rPr>
        <w:t xml:space="preserve">Line charts:</w:t>
      </w:r>
      <w:r>
        <w:rPr>
          <w:rFonts w:ascii="Arial" w:cs="Arial" w:eastAsia="Arial" w:hAnsi="Arial"/>
          <w:sz w:val="20"/>
          <w:szCs w:val="20"/>
        </w:rPr>
        <w:t xml:space="preserve"> Forward curve, storage monthly profiles. Shows trends and trajectories.</w:t>
      </w:r>
    </w:p>
    <w:p>
      <w:pPr>
        <w:pStyle w:val="ListParagraph"/>
        <w:numPr>
          <w:ilvl w:val="0"/>
          <w:numId w:val="2"/>
        </w:numPr>
        <w:spacing w:after="80" w:line="276"/>
      </w:pPr>
      <w:r>
        <w:rPr>
          <w:rFonts w:ascii="Arial" w:cs="Arial" w:eastAsia="Arial" w:hAnsi="Arial"/>
          <w:b/>
          <w:bCs/>
          <w:sz w:val="20"/>
          <w:szCs w:val="20"/>
        </w:rPr>
        <w:t xml:space="preserve">Tornado charts:</w:t>
      </w:r>
      <w:r>
        <w:rPr>
          <w:rFonts w:ascii="Arial" w:cs="Arial" w:eastAsia="Arial" w:hAnsi="Arial"/>
          <w:sz w:val="20"/>
          <w:szCs w:val="20"/>
        </w:rPr>
        <w:t xml:space="preserve"> Scenario impacts and sensitivities. Shows asymmetry of risks.</w:t>
      </w:r>
    </w:p>
    <w:p>
      <w:pPr>
        <w:pStyle w:val="ListParagraph"/>
        <w:numPr>
          <w:ilvl w:val="0"/>
          <w:numId w:val="2"/>
        </w:numPr>
        <w:spacing w:after="80" w:line="276"/>
      </w:pPr>
      <w:r>
        <w:rPr>
          <w:rFonts w:ascii="Arial" w:cs="Arial" w:eastAsia="Arial" w:hAnsi="Arial"/>
          <w:b/>
          <w:bCs/>
          <w:sz w:val="20"/>
          <w:szCs w:val="20"/>
        </w:rPr>
        <w:t xml:space="preserve">Utilisation gauges:</w:t>
      </w:r>
      <w:r>
        <w:rPr>
          <w:rFonts w:ascii="Arial" w:cs="Arial" w:eastAsia="Arial" w:hAnsi="Arial"/>
          <w:sz w:val="20"/>
          <w:szCs w:val="20"/>
        </w:rPr>
        <w:t xml:space="preserve"> Pipeline and regasification capacity. Shows bottleneck risk.</w:t>
      </w:r>
    </w:p>
    <w:p>
      <w:pPr>
        <w:pStyle w:val="Heading2"/>
        <w:spacing w:before="300" w:after="150"/>
      </w:pPr>
      <w:r>
        <w:rPr>
          <w:rFonts w:ascii="Arial" w:cs="Arial" w:eastAsia="Arial" w:hAnsi="Arial"/>
          <w:b/>
          <w:bCs/>
          <w:color w:val="2E75B6"/>
          <w:sz w:val="24"/>
          <w:szCs w:val="24"/>
        </w:rPr>
        <w:t xml:space="preserve">4.3 Colour system</w:t>
      </w:r>
    </w:p>
    <w:p>
      <w:pPr>
        <w:spacing w:after="120" w:line="276"/>
      </w:pPr>
      <w:r>
        <w:rPr>
          <w:rFonts w:ascii="Arial" w:cs="Arial" w:eastAsia="Arial" w:hAnsi="Arial"/>
          <w:b w:val="false"/>
          <w:bCs w:val="false"/>
          <w:i w:val="false"/>
          <w:iCs w:val="false"/>
          <w:color w:val="000000"/>
          <w:sz w:val="20"/>
          <w:szCs w:val="20"/>
        </w:rPr>
        <w:t xml:space="preserve">The colour palette is not arbitrary. It follows energy trading conventions:</w:t>
      </w:r>
    </w:p>
    <w:p>
      <w:pPr>
        <w:pStyle w:val="ListParagraph"/>
        <w:numPr>
          <w:ilvl w:val="0"/>
          <w:numId w:val="2"/>
        </w:numPr>
        <w:spacing w:after="80" w:line="276"/>
      </w:pPr>
      <w:r>
        <w:rPr>
          <w:rFonts w:ascii="Arial" w:cs="Arial" w:eastAsia="Arial" w:hAnsi="Arial"/>
          <w:b/>
          <w:bCs/>
          <w:sz w:val="20"/>
          <w:szCs w:val="20"/>
        </w:rPr>
        <w:t xml:space="preserve">Blue (#2E75B6):</w:t>
      </w:r>
      <w:r>
        <w:rPr>
          <w:rFonts w:ascii="Arial" w:cs="Arial" w:eastAsia="Arial" w:hAnsi="Arial"/>
          <w:sz w:val="20"/>
          <w:szCs w:val="20"/>
        </w:rPr>
        <w:t xml:space="preserve"> Norway (national colour association, reliability).</w:t>
      </w:r>
    </w:p>
    <w:p>
      <w:pPr>
        <w:pStyle w:val="ListParagraph"/>
        <w:numPr>
          <w:ilvl w:val="0"/>
          <w:numId w:val="2"/>
        </w:numPr>
        <w:spacing w:after="80" w:line="276"/>
      </w:pPr>
      <w:r>
        <w:rPr>
          <w:rFonts w:ascii="Arial" w:cs="Arial" w:eastAsia="Arial" w:hAnsi="Arial"/>
          <w:b/>
          <w:bCs/>
          <w:sz w:val="20"/>
          <w:szCs w:val="20"/>
        </w:rPr>
        <w:t xml:space="preserve">Orange (#ED7D31):</w:t>
      </w:r>
      <w:r>
        <w:rPr>
          <w:rFonts w:ascii="Arial" w:cs="Arial" w:eastAsia="Arial" w:hAnsi="Arial"/>
          <w:sz w:val="20"/>
          <w:szCs w:val="20"/>
        </w:rPr>
        <w:t xml:space="preserve"> Algeria/North Africa (warm, geographic association).</w:t>
      </w:r>
    </w:p>
    <w:p>
      <w:pPr>
        <w:pStyle w:val="ListParagraph"/>
        <w:numPr>
          <w:ilvl w:val="0"/>
          <w:numId w:val="2"/>
        </w:numPr>
        <w:spacing w:after="80" w:line="276"/>
      </w:pPr>
      <w:r>
        <w:rPr>
          <w:rFonts w:ascii="Arial" w:cs="Arial" w:eastAsia="Arial" w:hAnsi="Arial"/>
          <w:b/>
          <w:bCs/>
          <w:sz w:val="20"/>
          <w:szCs w:val="20"/>
        </w:rPr>
        <w:t xml:space="preserve">Red (#BF0000):</w:t>
      </w:r>
      <w:r>
        <w:rPr>
          <w:rFonts w:ascii="Arial" w:cs="Arial" w:eastAsia="Arial" w:hAnsi="Arial"/>
          <w:sz w:val="20"/>
          <w:szCs w:val="20"/>
        </w:rPr>
        <w:t xml:space="preserve"> Russia (flag association, risk signal).</w:t>
      </w:r>
    </w:p>
    <w:p>
      <w:pPr>
        <w:pStyle w:val="ListParagraph"/>
        <w:numPr>
          <w:ilvl w:val="0"/>
          <w:numId w:val="2"/>
        </w:numPr>
        <w:spacing w:after="80" w:line="276"/>
      </w:pPr>
      <w:r>
        <w:rPr>
          <w:rFonts w:ascii="Arial" w:cs="Arial" w:eastAsia="Arial" w:hAnsi="Arial"/>
          <w:b/>
          <w:bCs/>
          <w:sz w:val="20"/>
          <w:szCs w:val="20"/>
        </w:rPr>
        <w:t xml:space="preserve">Yellow (#FFC000):</w:t>
      </w:r>
      <w:r>
        <w:rPr>
          <w:rFonts w:ascii="Arial" w:cs="Arial" w:eastAsia="Arial" w:hAnsi="Arial"/>
          <w:sz w:val="20"/>
          <w:szCs w:val="20"/>
        </w:rPr>
        <w:t xml:space="preserve"> Azerbaijan (geographic, flag association).</w:t>
      </w:r>
    </w:p>
    <w:p>
      <w:pPr>
        <w:pStyle w:val="ListParagraph"/>
        <w:numPr>
          <w:ilvl w:val="0"/>
          <w:numId w:val="2"/>
        </w:numPr>
        <w:spacing w:after="80" w:line="276"/>
      </w:pPr>
      <w:r>
        <w:rPr>
          <w:rFonts w:ascii="Arial" w:cs="Arial" w:eastAsia="Arial" w:hAnsi="Arial"/>
          <w:b/>
          <w:bCs/>
          <w:sz w:val="20"/>
          <w:szCs w:val="20"/>
        </w:rPr>
        <w:t xml:space="preserve">Green (#70AD47):</w:t>
      </w:r>
      <w:r>
        <w:rPr>
          <w:rFonts w:ascii="Arial" w:cs="Arial" w:eastAsia="Arial" w:hAnsi="Arial"/>
          <w:sz w:val="20"/>
          <w:szCs w:val="20"/>
        </w:rPr>
        <w:t xml:space="preserve"> Indigenous EU/positive values (growth, domestic).</w:t>
      </w:r>
    </w:p>
    <w:p>
      <w:pPr>
        <w:pStyle w:val="ListParagraph"/>
        <w:numPr>
          <w:ilvl w:val="0"/>
          <w:numId w:val="2"/>
        </w:numPr>
        <w:spacing w:after="80" w:line="276"/>
      </w:pPr>
      <w:r>
        <w:rPr>
          <w:rFonts w:ascii="Arial" w:cs="Arial" w:eastAsia="Arial" w:hAnsi="Arial"/>
          <w:b/>
          <w:bCs/>
          <w:sz w:val="20"/>
          <w:szCs w:val="20"/>
        </w:rPr>
        <w:t xml:space="preserve">Purple (#7030A0):</w:t>
      </w:r>
      <w:r>
        <w:rPr>
          <w:rFonts w:ascii="Arial" w:cs="Arial" w:eastAsia="Arial" w:hAnsi="Arial"/>
          <w:sz w:val="20"/>
          <w:szCs w:val="20"/>
        </w:rPr>
        <w:t xml:space="preserve"> Storage (distinct from all supply sources, premium signal).</w:t>
      </w:r>
    </w:p>
    <w:p>
      <w:pPr>
        <w:pStyle w:val="ListParagraph"/>
        <w:numPr>
          <w:ilvl w:val="0"/>
          <w:numId w:val="2"/>
        </w:numPr>
        <w:spacing w:after="80" w:line="276"/>
      </w:pPr>
      <w:r>
        <w:rPr>
          <w:rFonts w:ascii="Arial" w:cs="Arial" w:eastAsia="Arial" w:hAnsi="Arial"/>
          <w:b/>
          <w:bCs/>
          <w:sz w:val="20"/>
          <w:szCs w:val="20"/>
        </w:rPr>
        <w:t xml:space="preserve">Cyan (#00B0F0):</w:t>
      </w:r>
      <w:r>
        <w:rPr>
          <w:rFonts w:ascii="Arial" w:cs="Arial" w:eastAsia="Arial" w:hAnsi="Arial"/>
          <w:sz w:val="20"/>
          <w:szCs w:val="20"/>
        </w:rPr>
        <w:t xml:space="preserve"> LNG (maritime/shipping association, marginal source emphasis).</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5. Scenario Design Logic</w:t>
      </w:r>
    </w:p>
    <w:p>
      <w:pPr>
        <w:spacing w:after="120" w:line="276"/>
      </w:pPr>
      <w:r>
        <w:rPr>
          <w:rFonts w:ascii="Arial" w:cs="Arial" w:eastAsia="Arial" w:hAnsi="Arial"/>
          <w:b w:val="false"/>
          <w:bCs w:val="false"/>
          <w:i w:val="false"/>
          <w:iCs w:val="false"/>
          <w:color w:val="000000"/>
          <w:sz w:val="20"/>
          <w:szCs w:val="20"/>
        </w:rPr>
        <w:t xml:space="preserve">The ten scenarios were selected to cover the major risk dimensions, with specific attention to probability weighting and asymmetry.</w:t>
      </w:r>
    </w:p>
    <w:p>
      <w:pPr>
        <w:pStyle w:val="Heading2"/>
        <w:spacing w:before="300" w:after="150"/>
      </w:pPr>
      <w:r>
        <w:rPr>
          <w:rFonts w:ascii="Arial" w:cs="Arial" w:eastAsia="Arial" w:hAnsi="Arial"/>
          <w:b/>
          <w:bCs/>
          <w:color w:val="2E75B6"/>
          <w:sz w:val="24"/>
          <w:szCs w:val="24"/>
        </w:rPr>
        <w:t xml:space="preserve">5.1 Scenario selection criteria</w:t>
      </w:r>
    </w:p>
    <w:p>
      <w:pPr>
        <w:pStyle w:val="ListParagraph"/>
        <w:numPr>
          <w:ilvl w:val="0"/>
          <w:numId w:val="2"/>
        </w:numPr>
        <w:spacing w:after="80" w:line="276"/>
      </w:pPr>
      <w:r>
        <w:rPr>
          <w:rFonts w:ascii="Arial" w:cs="Arial" w:eastAsia="Arial" w:hAnsi="Arial"/>
          <w:b/>
          <w:bCs/>
          <w:sz w:val="20"/>
          <w:szCs w:val="20"/>
        </w:rPr>
        <w:t xml:space="preserve">Coverage:</w:t>
      </w:r>
      <w:r>
        <w:rPr>
          <w:rFonts w:ascii="Arial" w:cs="Arial" w:eastAsia="Arial" w:hAnsi="Arial"/>
          <w:sz w:val="20"/>
          <w:szCs w:val="20"/>
        </w:rPr>
        <w:t xml:space="preserve"> Each major supply source has at least one stress scenario (Norway outage, Russian cutoff, US LNG disruption, Qatar delay).</w:t>
      </w:r>
    </w:p>
    <w:p>
      <w:pPr>
        <w:pStyle w:val="ListParagraph"/>
        <w:numPr>
          <w:ilvl w:val="0"/>
          <w:numId w:val="2"/>
        </w:numPr>
        <w:spacing w:after="80" w:line="276"/>
      </w:pPr>
      <w:r>
        <w:rPr>
          <w:rFonts w:ascii="Arial" w:cs="Arial" w:eastAsia="Arial" w:hAnsi="Arial"/>
          <w:b/>
          <w:bCs/>
          <w:sz w:val="20"/>
          <w:szCs w:val="20"/>
        </w:rPr>
        <w:t xml:space="preserve">Demand shocks:</w:t>
      </w:r>
      <w:r>
        <w:rPr>
          <w:rFonts w:ascii="Arial" w:cs="Arial" w:eastAsia="Arial" w:hAnsi="Arial"/>
          <w:sz w:val="20"/>
          <w:szCs w:val="20"/>
        </w:rPr>
        <w:t xml:space="preserve"> Both weather-driven (cold/mild winter) and structural (industrial recovery, accelerated renewables).</w:t>
      </w:r>
    </w:p>
    <w:p>
      <w:pPr>
        <w:pStyle w:val="ListParagraph"/>
        <w:numPr>
          <w:ilvl w:val="0"/>
          <w:numId w:val="2"/>
        </w:numPr>
        <w:spacing w:after="80" w:line="276"/>
      </w:pPr>
      <w:r>
        <w:rPr>
          <w:rFonts w:ascii="Arial" w:cs="Arial" w:eastAsia="Arial" w:hAnsi="Arial"/>
          <w:b/>
          <w:bCs/>
          <w:sz w:val="20"/>
          <w:szCs w:val="20"/>
        </w:rPr>
        <w:t xml:space="preserve">Asymmetry:</w:t>
      </w:r>
      <w:r>
        <w:rPr>
          <w:rFonts w:ascii="Arial" w:cs="Arial" w:eastAsia="Arial" w:hAnsi="Arial"/>
          <w:sz w:val="20"/>
          <w:szCs w:val="20"/>
        </w:rPr>
        <w:t xml:space="preserve"> Upside risks to price are more numerous than downside risks, reflecting the structural supply tightness of the European market. This is intentional: the market is fundamentally short, so disruptions have larger price impacts than surpluses.</w:t>
      </w:r>
    </w:p>
    <w:p>
      <w:pPr>
        <w:pStyle w:val="ListParagraph"/>
        <w:numPr>
          <w:ilvl w:val="0"/>
          <w:numId w:val="2"/>
        </w:numPr>
        <w:spacing w:after="80" w:line="276"/>
      </w:pPr>
      <w:r>
        <w:rPr>
          <w:rFonts w:ascii="Arial" w:cs="Arial" w:eastAsia="Arial" w:hAnsi="Arial"/>
          <w:b/>
          <w:bCs/>
          <w:sz w:val="20"/>
          <w:szCs w:val="20"/>
        </w:rPr>
        <w:t xml:space="preserve">Independence:</w:t>
      </w:r>
      <w:r>
        <w:rPr>
          <w:rFonts w:ascii="Arial" w:cs="Arial" w:eastAsia="Arial" w:hAnsi="Arial"/>
          <w:sz w:val="20"/>
          <w:szCs w:val="20"/>
        </w:rPr>
        <w:t xml:space="preserve"> Each scenario is designed to be independent for base-case analysis, though in reality scenarios can compound (a cold winter plus a Norwegian outage would be far worse than either alone).</w:t>
      </w:r>
    </w:p>
    <w:p>
      <w:pPr>
        <w:pStyle w:val="Heading2"/>
        <w:spacing w:before="300" w:after="150"/>
      </w:pPr>
      <w:r>
        <w:rPr>
          <w:rFonts w:ascii="Arial" w:cs="Arial" w:eastAsia="Arial" w:hAnsi="Arial"/>
          <w:b/>
          <w:bCs/>
          <w:color w:val="2E75B6"/>
          <w:sz w:val="24"/>
          <w:szCs w:val="24"/>
        </w:rPr>
        <w:t xml:space="preserve">5.2 Probability-weighted pricing</w:t>
      </w:r>
    </w:p>
    <w:p>
      <w:pPr>
        <w:spacing w:after="120" w:line="276"/>
      </w:pPr>
      <w:r>
        <w:rPr>
          <w:rFonts w:ascii="Arial" w:cs="Arial" w:eastAsia="Arial" w:hAnsi="Arial"/>
          <w:b w:val="false"/>
          <w:bCs w:val="false"/>
          <w:i w:val="false"/>
          <w:iCs w:val="false"/>
          <w:color w:val="000000"/>
          <w:sz w:val="20"/>
          <w:szCs w:val="20"/>
        </w:rPr>
        <w:t xml:space="preserve">The probability-weighted TTF price is an expected value calculation across all scenarios. It is consistently above the base case because the scenario distribution is skewed to the upside. This is an important analytical insight: in a tight market, the expected price exceeds the modal price because tail risks are predominantly bullish.</w:t>
      </w:r>
    </w:p>
    <w:p>
      <w:pPr>
        <w:pStyle w:val="Heading2"/>
        <w:spacing w:before="300" w:after="150"/>
      </w:pPr>
      <w:r>
        <w:rPr>
          <w:rFonts w:ascii="Arial" w:cs="Arial" w:eastAsia="Arial" w:hAnsi="Arial"/>
          <w:b/>
          <w:bCs/>
          <w:color w:val="2E75B6"/>
          <w:sz w:val="24"/>
          <w:szCs w:val="24"/>
        </w:rPr>
        <w:t xml:space="preserve">5.3 What the sensitivity table shows</w:t>
      </w:r>
    </w:p>
    <w:p>
      <w:pPr>
        <w:spacing w:after="120" w:line="276"/>
      </w:pPr>
      <w:r>
        <w:rPr>
          <w:rFonts w:ascii="Arial" w:cs="Arial" w:eastAsia="Arial" w:hAnsi="Arial"/>
          <w:b w:val="false"/>
          <w:bCs w:val="false"/>
          <w:i w:val="false"/>
          <w:iCs w:val="false"/>
          <w:color w:val="000000"/>
          <w:sz w:val="20"/>
          <w:szCs w:val="20"/>
        </w:rPr>
        <w:t xml:space="preserve">The sensitivity analysis reveals the hierarchy of price drivers. Global LNG supply and storage levels have the largest impact (EUR 5-8/MWh per unit change), followed by JKM price and Norwegian production (EUR 3-5/MWh). Coal prices have an inverse relationship through fuel switching. The sensitivities are presented as ranges rather than point estimates because the relationships are non-linear and context-dependent.</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6. Key Trade-offs and Simplifications</w:t>
      </w:r>
    </w:p>
    <w:p>
      <w:pPr>
        <w:spacing w:after="120" w:line="276"/>
      </w:pPr>
      <w:r>
        <w:rPr>
          <w:rFonts w:ascii="Arial" w:cs="Arial" w:eastAsia="Arial" w:hAnsi="Arial"/>
          <w:b w:val="false"/>
          <w:bCs w:val="false"/>
          <w:i w:val="false"/>
          <w:iCs w:val="false"/>
          <w:color w:val="000000"/>
          <w:sz w:val="20"/>
          <w:szCs w:val="20"/>
        </w:rPr>
        <w:t xml:space="preserve">Every model involves simplifications. Documenting them is as important as documenting the model itself.</w:t>
      </w:r>
    </w:p>
    <w:p>
      <w:pPr>
        <w:pStyle w:val="Heading2"/>
        <w:spacing w:before="300" w:after="150"/>
      </w:pPr>
      <w:r>
        <w:rPr>
          <w:rFonts w:ascii="Arial" w:cs="Arial" w:eastAsia="Arial" w:hAnsi="Arial"/>
          <w:b/>
          <w:bCs/>
          <w:color w:val="2E75B6"/>
          <w:sz w:val="24"/>
          <w:szCs w:val="24"/>
        </w:rPr>
        <w:t xml:space="preserve">6.1 Annual vs monthly granularity</w:t>
      </w:r>
    </w:p>
    <w:p>
      <w:pPr>
        <w:spacing w:after="120" w:line="276"/>
      </w:pPr>
      <w:r>
        <w:rPr>
          <w:rFonts w:ascii="Arial" w:cs="Arial" w:eastAsia="Arial" w:hAnsi="Arial"/>
          <w:b w:val="false"/>
          <w:bCs w:val="false"/>
          <w:i w:val="false"/>
          <w:iCs w:val="false"/>
          <w:color w:val="000000"/>
          <w:sz w:val="20"/>
          <w:szCs w:val="20"/>
        </w:rPr>
        <w:t xml:space="preserve">The model operates on annual averages. This misses important intra-annual dynamics: the winter strip trades at a significant premium to summer, maintenance windows create predictable supply dips, and storage injection/withdrawal creates seasonal demand patterns. A production model would need monthly or even daily granularity. The annual framework was chosen as the right level for a structural forward curve, with the understanding that seasonal shaping can be layered on top.</w:t>
      </w:r>
    </w:p>
    <w:p>
      <w:pPr>
        <w:pStyle w:val="Heading2"/>
        <w:spacing w:before="300" w:after="150"/>
      </w:pPr>
      <w:r>
        <w:rPr>
          <w:rFonts w:ascii="Arial" w:cs="Arial" w:eastAsia="Arial" w:hAnsi="Arial"/>
          <w:b/>
          <w:bCs/>
          <w:color w:val="2E75B6"/>
          <w:sz w:val="24"/>
          <w:szCs w:val="24"/>
        </w:rPr>
        <w:t xml:space="preserve">6.2 Linear vs non-linear price response</w:t>
      </w:r>
    </w:p>
    <w:p>
      <w:pPr>
        <w:spacing w:after="120" w:line="276"/>
      </w:pPr>
      <w:r>
        <w:rPr>
          <w:rFonts w:ascii="Arial" w:cs="Arial" w:eastAsia="Arial" w:hAnsi="Arial"/>
          <w:b w:val="false"/>
          <w:bCs w:val="false"/>
          <w:i w:val="false"/>
          <w:iCs w:val="false"/>
          <w:color w:val="000000"/>
          <w:sz w:val="20"/>
          <w:szCs w:val="20"/>
        </w:rPr>
        <w:t xml:space="preserve">The supply-demand balance adjustment uses a linear coefficient. In reality, the relationship between market tightness and price is convex: a 10 bcm deficit has more than twice the price impact of a 5 bcm deficit. This is because as the market tightens, the marginal source shifts from flexible LNG to less flexible sources (storage, demand destruction), each with steeper supply curves. A piecewise or exponential adjustment would be more accurate.</w:t>
      </w:r>
    </w:p>
    <w:p>
      <w:pPr>
        <w:pStyle w:val="Heading2"/>
        <w:spacing w:before="300" w:after="150"/>
      </w:pPr>
      <w:r>
        <w:rPr>
          <w:rFonts w:ascii="Arial" w:cs="Arial" w:eastAsia="Arial" w:hAnsi="Arial"/>
          <w:b/>
          <w:bCs/>
          <w:color w:val="2E75B6"/>
          <w:sz w:val="24"/>
          <w:szCs w:val="24"/>
        </w:rPr>
        <w:t xml:space="preserve">6.3 Demand as exogenous</w:t>
      </w:r>
    </w:p>
    <w:p>
      <w:pPr>
        <w:spacing w:after="120" w:line="276"/>
      </w:pPr>
      <w:r>
        <w:rPr>
          <w:rFonts w:ascii="Arial" w:cs="Arial" w:eastAsia="Arial" w:hAnsi="Arial"/>
          <w:b w:val="false"/>
          <w:bCs w:val="false"/>
          <w:i w:val="false"/>
          <w:iCs w:val="false"/>
          <w:color w:val="000000"/>
          <w:sz w:val="20"/>
          <w:szCs w:val="20"/>
        </w:rPr>
        <w:t xml:space="preserve">Demand is treated as an input assumption, not endogenously modelled. In reality, gas demand responds to price (industrial demand destruction, fuel switching in power). A fully integrated model would have demand as a function of TTF price, creating a simultaneous equation system. This was excluded to keep the model tractable and focused on the supply side, which was the user's specific interest.</w:t>
      </w:r>
    </w:p>
    <w:p>
      <w:pPr>
        <w:pStyle w:val="Heading2"/>
        <w:spacing w:before="300" w:after="150"/>
      </w:pPr>
      <w:r>
        <w:rPr>
          <w:rFonts w:ascii="Arial" w:cs="Arial" w:eastAsia="Arial" w:hAnsi="Arial"/>
          <w:b/>
          <w:bCs/>
          <w:color w:val="2E75B6"/>
          <w:sz w:val="24"/>
          <w:szCs w:val="24"/>
        </w:rPr>
        <w:t xml:space="preserve">6.4 No intra-European flow modelling</w:t>
      </w:r>
    </w:p>
    <w:p>
      <w:pPr>
        <w:spacing w:after="120" w:line="276"/>
      </w:pPr>
      <w:r>
        <w:rPr>
          <w:rFonts w:ascii="Arial" w:cs="Arial" w:eastAsia="Arial" w:hAnsi="Arial"/>
          <w:b w:val="false"/>
          <w:bCs w:val="false"/>
          <w:i w:val="false"/>
          <w:iCs w:val="false"/>
          <w:color w:val="000000"/>
          <w:sz w:val="20"/>
          <w:szCs w:val="20"/>
        </w:rPr>
        <w:t xml:space="preserve">The model treats Europe as a single demand zone. In reality, interconnector constraints between Iberia and Northwest Europe, between Italy and Central Europe, and between the UK and continent create basis differentials. LNG arriving in Spain cannot always reach TTF at the volume needed. A production model would need a network flow layer.</w:t>
      </w:r>
    </w:p>
    <w:p>
      <w:pPr>
        <w:pStyle w:val="Heading2"/>
        <w:spacing w:before="300" w:after="150"/>
      </w:pPr>
      <w:r>
        <w:rPr>
          <w:rFonts w:ascii="Arial" w:cs="Arial" w:eastAsia="Arial" w:hAnsi="Arial"/>
          <w:b/>
          <w:bCs/>
          <w:color w:val="2E75B6"/>
          <w:sz w:val="24"/>
          <w:szCs w:val="24"/>
        </w:rPr>
        <w:t xml:space="preserve">6.5 Static maintenance schedule</w:t>
      </w:r>
    </w:p>
    <w:p>
      <w:pPr>
        <w:spacing w:after="120" w:line="276"/>
      </w:pPr>
      <w:r>
        <w:rPr>
          <w:rFonts w:ascii="Arial" w:cs="Arial" w:eastAsia="Arial" w:hAnsi="Arial"/>
          <w:b w:val="false"/>
          <w:bCs w:val="false"/>
          <w:i w:val="false"/>
          <w:iCs w:val="false"/>
          <w:color w:val="000000"/>
          <w:sz w:val="20"/>
          <w:szCs w:val="20"/>
        </w:rPr>
        <w:t xml:space="preserve">Maintenance is modelled as an annual deduction rather than a monthly profile. Norwegian summer maintenance creates a predictable supply dip that is important for seasonal pricing. The annual approach captures the total volume impact but not the timing.</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7. Extension Roadmap</w:t>
      </w:r>
    </w:p>
    <w:p>
      <w:pPr>
        <w:spacing w:after="120" w:line="276"/>
      </w:pPr>
      <w:r>
        <w:rPr>
          <w:rFonts w:ascii="Arial" w:cs="Arial" w:eastAsia="Arial" w:hAnsi="Arial"/>
          <w:b w:val="false"/>
          <w:bCs w:val="false"/>
          <w:i w:val="false"/>
          <w:iCs w:val="false"/>
          <w:color w:val="000000"/>
          <w:sz w:val="20"/>
          <w:szCs w:val="20"/>
        </w:rPr>
        <w:t xml:space="preserve">If this model were to be developed into a production system, the following enhancements would be prioritised:</w:t>
      </w:r>
    </w:p>
    <w:p>
      <w:pPr>
        <w:pStyle w:val="Heading2"/>
        <w:spacing w:before="300" w:after="150"/>
      </w:pPr>
      <w:r>
        <w:rPr>
          <w:rFonts w:ascii="Arial" w:cs="Arial" w:eastAsia="Arial" w:hAnsi="Arial"/>
          <w:b/>
          <w:bCs/>
          <w:color w:val="2E75B6"/>
          <w:sz w:val="24"/>
          <w:szCs w:val="24"/>
        </w:rPr>
        <w:t xml:space="preserve">7.1 Immediate improvements</w:t>
      </w:r>
    </w:p>
    <w:p>
      <w:pPr>
        <w:pStyle w:val="ListParagraph"/>
        <w:numPr>
          <w:ilvl w:val="0"/>
          <w:numId w:val="2"/>
        </w:numPr>
        <w:spacing w:after="80" w:line="276"/>
      </w:pPr>
      <w:r>
        <w:rPr>
          <w:rFonts w:ascii="Arial" w:cs="Arial" w:eastAsia="Arial" w:hAnsi="Arial"/>
          <w:b/>
          <w:bCs/>
          <w:sz w:val="20"/>
          <w:szCs w:val="20"/>
        </w:rPr>
        <w:t xml:space="preserve">Monthly granularity:</w:t>
      </w:r>
      <w:r>
        <w:rPr>
          <w:rFonts w:ascii="Arial" w:cs="Arial" w:eastAsia="Arial" w:hAnsi="Arial"/>
          <w:sz w:val="20"/>
          <w:szCs w:val="20"/>
        </w:rPr>
        <w:t xml:space="preserve"> Decompose annual volumes into monthly profiles. Norwegian maintenance from Gassco calendar, storage from GIE AGSI+ seasonal patterns, demand from HDD forecasts.</w:t>
      </w:r>
    </w:p>
    <w:p>
      <w:pPr>
        <w:pStyle w:val="ListParagraph"/>
        <w:numPr>
          <w:ilvl w:val="0"/>
          <w:numId w:val="2"/>
        </w:numPr>
        <w:spacing w:after="80" w:line="276"/>
      </w:pPr>
      <w:r>
        <w:rPr>
          <w:rFonts w:ascii="Arial" w:cs="Arial" w:eastAsia="Arial" w:hAnsi="Arial"/>
          <w:b/>
          <w:bCs/>
          <w:sz w:val="20"/>
          <w:szCs w:val="20"/>
        </w:rPr>
        <w:t xml:space="preserve">Live data feeds:</w:t>
      </w:r>
      <w:r>
        <w:rPr>
          <w:rFonts w:ascii="Arial" w:cs="Arial" w:eastAsia="Arial" w:hAnsi="Arial"/>
          <w:sz w:val="20"/>
          <w:szCs w:val="20"/>
        </w:rPr>
        <w:t xml:space="preserve"> Connect to GIE AGSI+ (storage), Gassco (Norwegian flows), ENTSOG (pipeline flows), ICE (futures prices), and a cargo tracker (Kpler/Vortexa) for LNG.</w:t>
      </w:r>
    </w:p>
    <w:p>
      <w:pPr>
        <w:pStyle w:val="ListParagraph"/>
        <w:numPr>
          <w:ilvl w:val="0"/>
          <w:numId w:val="2"/>
        </w:numPr>
        <w:spacing w:after="80" w:line="276"/>
      </w:pPr>
      <w:r>
        <w:rPr>
          <w:rFonts w:ascii="Arial" w:cs="Arial" w:eastAsia="Arial" w:hAnsi="Arial"/>
          <w:b/>
          <w:bCs/>
          <w:sz w:val="20"/>
          <w:szCs w:val="20"/>
        </w:rPr>
        <w:t xml:space="preserve">Cross-sheet formula completion:</w:t>
      </w:r>
      <w:r>
        <w:rPr>
          <w:rFonts w:ascii="Arial" w:cs="Arial" w:eastAsia="Arial" w:hAnsi="Arial"/>
          <w:sz w:val="20"/>
          <w:szCs w:val="20"/>
        </w:rPr>
        <w:t xml:space="preserve"> The Excel model has placeholder links between the LNG sheet and Supply Stack sheet. These should be converted to proper INDEX/MATCH formulas.</w:t>
      </w:r>
    </w:p>
    <w:p>
      <w:pPr>
        <w:pStyle w:val="Heading2"/>
        <w:spacing w:before="300" w:after="150"/>
      </w:pPr>
      <w:r>
        <w:rPr>
          <w:rFonts w:ascii="Arial" w:cs="Arial" w:eastAsia="Arial" w:hAnsi="Arial"/>
          <w:b/>
          <w:bCs/>
          <w:color w:val="2E75B6"/>
          <w:sz w:val="24"/>
          <w:szCs w:val="24"/>
        </w:rPr>
        <w:t xml:space="preserve">7.2 Medium-term enhancements</w:t>
      </w:r>
    </w:p>
    <w:p>
      <w:pPr>
        <w:pStyle w:val="ListParagraph"/>
        <w:numPr>
          <w:ilvl w:val="0"/>
          <w:numId w:val="2"/>
        </w:numPr>
        <w:spacing w:after="80" w:line="276"/>
      </w:pPr>
      <w:r>
        <w:rPr>
          <w:rFonts w:ascii="Arial" w:cs="Arial" w:eastAsia="Arial" w:hAnsi="Arial"/>
          <w:b/>
          <w:bCs/>
          <w:sz w:val="20"/>
          <w:szCs w:val="20"/>
        </w:rPr>
        <w:t xml:space="preserve">Stochastic modelling:</w:t>
      </w:r>
      <w:r>
        <w:rPr>
          <w:rFonts w:ascii="Arial" w:cs="Arial" w:eastAsia="Arial" w:hAnsi="Arial"/>
          <w:sz w:val="20"/>
          <w:szCs w:val="20"/>
        </w:rPr>
        <w:t xml:space="preserve"> Replace point estimates with probability distributions. Monte Carlo simulation on weather, LNG arrivals, and outage probabilities to generate a price distribution.</w:t>
      </w:r>
    </w:p>
    <w:p>
      <w:pPr>
        <w:pStyle w:val="ListParagraph"/>
        <w:numPr>
          <w:ilvl w:val="0"/>
          <w:numId w:val="2"/>
        </w:numPr>
        <w:spacing w:after="80" w:line="276"/>
      </w:pPr>
      <w:r>
        <w:rPr>
          <w:rFonts w:ascii="Arial" w:cs="Arial" w:eastAsia="Arial" w:hAnsi="Arial"/>
          <w:b/>
          <w:bCs/>
          <w:sz w:val="20"/>
          <w:szCs w:val="20"/>
        </w:rPr>
        <w:t xml:space="preserve">Endogenous demand:</w:t>
      </w:r>
      <w:r>
        <w:rPr>
          <w:rFonts w:ascii="Arial" w:cs="Arial" w:eastAsia="Arial" w:hAnsi="Arial"/>
          <w:sz w:val="20"/>
          <w:szCs w:val="20"/>
        </w:rPr>
        <w:t xml:space="preserve"> Add gas-to-coal switching model (clean spark vs clean dark spread), industrial demand response curve, and temperature-driven residential demand.</w:t>
      </w:r>
    </w:p>
    <w:p>
      <w:pPr>
        <w:pStyle w:val="ListParagraph"/>
        <w:numPr>
          <w:ilvl w:val="0"/>
          <w:numId w:val="2"/>
        </w:numPr>
        <w:spacing w:after="80" w:line="276"/>
      </w:pPr>
      <w:r>
        <w:rPr>
          <w:rFonts w:ascii="Arial" w:cs="Arial" w:eastAsia="Arial" w:hAnsi="Arial"/>
          <w:b/>
          <w:bCs/>
          <w:sz w:val="20"/>
          <w:szCs w:val="20"/>
        </w:rPr>
        <w:t xml:space="preserve">Network flow layer:</w:t>
      </w:r>
      <w:r>
        <w:rPr>
          <w:rFonts w:ascii="Arial" w:cs="Arial" w:eastAsia="Arial" w:hAnsi="Arial"/>
          <w:sz w:val="20"/>
          <w:szCs w:val="20"/>
        </w:rPr>
        <w:t xml:space="preserve"> Model intra-European pipeline constraints, interconnector capacities, and basis differentials between hubs.</w:t>
      </w:r>
    </w:p>
    <w:p>
      <w:pPr>
        <w:pStyle w:val="Heading2"/>
        <w:spacing w:before="300" w:after="150"/>
      </w:pPr>
      <w:r>
        <w:rPr>
          <w:rFonts w:ascii="Arial" w:cs="Arial" w:eastAsia="Arial" w:hAnsi="Arial"/>
          <w:b/>
          <w:bCs/>
          <w:color w:val="2E75B6"/>
          <w:sz w:val="24"/>
          <w:szCs w:val="24"/>
        </w:rPr>
        <w:t xml:space="preserve">7.3 Long-term architecture</w:t>
      </w:r>
    </w:p>
    <w:p>
      <w:pPr>
        <w:pStyle w:val="ListParagraph"/>
        <w:numPr>
          <w:ilvl w:val="0"/>
          <w:numId w:val="2"/>
        </w:numPr>
        <w:spacing w:after="80" w:line="276"/>
      </w:pPr>
      <w:r>
        <w:rPr>
          <w:rFonts w:ascii="Arial" w:cs="Arial" w:eastAsia="Arial" w:hAnsi="Arial"/>
          <w:b/>
          <w:bCs/>
          <w:sz w:val="20"/>
          <w:szCs w:val="20"/>
        </w:rPr>
        <w:t xml:space="preserve">Real-time curve generation:</w:t>
      </w:r>
      <w:r>
        <w:rPr>
          <w:rFonts w:ascii="Arial" w:cs="Arial" w:eastAsia="Arial" w:hAnsi="Arial"/>
          <w:sz w:val="20"/>
          <w:szCs w:val="20"/>
        </w:rPr>
        <w:t xml:space="preserve"> Run the model on a daily schedule (Airflow/cron) with live data to produce an updated forward curve each morning.</w:t>
      </w:r>
    </w:p>
    <w:p>
      <w:pPr>
        <w:pStyle w:val="ListParagraph"/>
        <w:numPr>
          <w:ilvl w:val="0"/>
          <w:numId w:val="2"/>
        </w:numPr>
        <w:spacing w:after="80" w:line="276"/>
      </w:pPr>
      <w:r>
        <w:rPr>
          <w:rFonts w:ascii="Arial" w:cs="Arial" w:eastAsia="Arial" w:hAnsi="Arial"/>
          <w:b/>
          <w:bCs/>
          <w:sz w:val="20"/>
          <w:szCs w:val="20"/>
        </w:rPr>
        <w:t xml:space="preserve">Backtesting framework:</w:t>
      </w:r>
      <w:r>
        <w:rPr>
          <w:rFonts w:ascii="Arial" w:cs="Arial" w:eastAsia="Arial" w:hAnsi="Arial"/>
          <w:sz w:val="20"/>
          <w:szCs w:val="20"/>
        </w:rPr>
        <w:t xml:space="preserve"> Compare model-implied prices against actual TTF settlement to measure model accuracy and identify systematic biases.</w:t>
      </w:r>
    </w:p>
    <w:p>
      <w:pPr>
        <w:pStyle w:val="ListParagraph"/>
        <w:numPr>
          <w:ilvl w:val="0"/>
          <w:numId w:val="2"/>
        </w:numPr>
        <w:spacing w:after="80" w:line="276"/>
      </w:pPr>
      <w:r>
        <w:rPr>
          <w:rFonts w:ascii="Arial" w:cs="Arial" w:eastAsia="Arial" w:hAnsi="Arial"/>
          <w:b/>
          <w:bCs/>
          <w:sz w:val="20"/>
          <w:szCs w:val="20"/>
        </w:rPr>
        <w:t xml:space="preserve">Scenario simulation engine:</w:t>
      </w:r>
      <w:r>
        <w:rPr>
          <w:rFonts w:ascii="Arial" w:cs="Arial" w:eastAsia="Arial" w:hAnsi="Arial"/>
          <w:sz w:val="20"/>
          <w:szCs w:val="20"/>
        </w:rPr>
        <w:t xml:space="preserve"> Allow users to define custom scenarios and immediately see the impact on the curve, with automatic recalculation of all downstream components.</w:t>
      </w:r>
    </w:p>
    <w:p>
      <w:pPr>
        <w:pBdr>
          <w:bottom w:val="single" w:color="2E75B6" w:sz="3" w:space="1"/>
        </w:pBdr>
        <w:spacing w:before="200" w:after="200"/>
      </w:pPr>
    </w:p>
    <w:p>
      <w:pPr>
        <w:pStyle w:val="Heading1"/>
        <w:spacing w:before="400" w:after="200"/>
      </w:pPr>
      <w:r>
        <w:rPr>
          <w:rFonts w:ascii="Arial" w:cs="Arial" w:eastAsia="Arial" w:hAnsi="Arial"/>
          <w:b/>
          <w:bCs/>
          <w:color w:val="1F4E79"/>
          <w:sz w:val="28"/>
          <w:szCs w:val="28"/>
        </w:rPr>
        <w:t xml:space="preserve">8. How the Conversation Shaped the Model</w:t>
      </w:r>
    </w:p>
    <w:p>
      <w:pPr>
        <w:spacing w:after="120" w:line="276"/>
      </w:pPr>
      <w:r>
        <w:rPr>
          <w:rFonts w:ascii="Arial" w:cs="Arial" w:eastAsia="Arial" w:hAnsi="Arial"/>
          <w:b w:val="false"/>
          <w:bCs w:val="false"/>
          <w:i w:val="false"/>
          <w:iCs w:val="false"/>
          <w:color w:val="000000"/>
          <w:sz w:val="20"/>
          <w:szCs w:val="20"/>
        </w:rPr>
        <w:t xml:space="preserve">The model was built iteratively across six turns of conversation, each building on the previous:</w:t>
      </w:r>
    </w:p>
    <w:p>
      <w:pPr>
        <w:spacing w:before="200" w:after="100"/>
      </w:pPr>
      <w:r>
        <w:rPr>
          <w:rFonts w:ascii="Arial" w:cs="Arial" w:eastAsia="Arial" w:hAnsi="Arial"/>
          <w:b/>
          <w:bCs/>
          <w:color w:val="000000"/>
          <w:sz w:val="22"/>
          <w:szCs w:val="22"/>
        </w:rPr>
        <w:t xml:space="preserve">Turn 1: Initial scoping</w:t>
      </w:r>
    </w:p>
    <w:p>
      <w:pPr>
        <w:spacing w:after="120" w:line="276"/>
      </w:pPr>
      <w:r>
        <w:rPr>
          <w:rFonts w:ascii="Arial" w:cs="Arial" w:eastAsia="Arial" w:hAnsi="Arial"/>
          <w:b w:val="false"/>
          <w:bCs w:val="false"/>
          <w:i w:val="false"/>
          <w:iCs w:val="false"/>
          <w:color w:val="000000"/>
          <w:sz w:val="20"/>
          <w:szCs w:val="20"/>
        </w:rPr>
        <w:t xml:space="preserve">The user asked what driver factors are needed for a TTF stack curve. I provided a comprehensive taxonomy covering supply, demand, cross-commodity, structural, and seasonal factors. The key framing insight was identifying LNG netback economics as the single most important structural driver.</w:t>
      </w:r>
    </w:p>
    <w:p>
      <w:pPr>
        <w:spacing w:before="200" w:after="100"/>
      </w:pPr>
      <w:r>
        <w:rPr>
          <w:rFonts w:ascii="Arial" w:cs="Arial" w:eastAsia="Arial" w:hAnsi="Arial"/>
          <w:b/>
          <w:bCs/>
          <w:color w:val="000000"/>
          <w:sz w:val="22"/>
          <w:szCs w:val="22"/>
        </w:rPr>
        <w:t xml:space="preserve">Turn 2: Supply-side deep dive</w:t>
      </w:r>
    </w:p>
    <w:p>
      <w:pPr>
        <w:spacing w:after="120" w:line="276"/>
      </w:pPr>
      <w:r>
        <w:rPr>
          <w:rFonts w:ascii="Arial" w:cs="Arial" w:eastAsia="Arial" w:hAnsi="Arial"/>
          <w:b w:val="false"/>
          <w:bCs w:val="false"/>
          <w:i w:val="false"/>
          <w:iCs w:val="false"/>
          <w:color w:val="000000"/>
          <w:sz w:val="20"/>
          <w:szCs w:val="20"/>
        </w:rPr>
        <w:t xml:space="preserve">The user asked to focus on supply-side drivers. I expanded each supply source into full modelling detail: Norwegian field-by-field production, LNG project-level liquefaction with arbitrage mechanics, pipeline routes with geopolitical scenarios, indigenous EU production, and storage dynamics. This turn established the analytical depth that would carry through to the quantitative model.</w:t>
      </w:r>
    </w:p>
    <w:p>
      <w:pPr>
        <w:spacing w:before="200" w:after="100"/>
      </w:pPr>
      <w:r>
        <w:rPr>
          <w:rFonts w:ascii="Arial" w:cs="Arial" w:eastAsia="Arial" w:hAnsi="Arial"/>
          <w:b/>
          <w:bCs/>
          <w:color w:val="000000"/>
          <w:sz w:val="22"/>
          <w:szCs w:val="22"/>
        </w:rPr>
        <w:t xml:space="preserve">Turn 3: Further development</w:t>
      </w:r>
    </w:p>
    <w:p>
      <w:pPr>
        <w:spacing w:after="120" w:line="276"/>
      </w:pPr>
      <w:r>
        <w:rPr>
          <w:rFonts w:ascii="Arial" w:cs="Arial" w:eastAsia="Arial" w:hAnsi="Arial"/>
          <w:b w:val="false"/>
          <w:bCs w:val="false"/>
          <w:i w:val="false"/>
          <w:iCs w:val="false"/>
          <w:color w:val="000000"/>
          <w:sz w:val="20"/>
          <w:szCs w:val="20"/>
        </w:rPr>
        <w:t xml:space="preserve">The user asked to develop further. I produced the most detailed treatment: six full sections with sub-sections covering processing plant throughput, feed gas constraints, shipping fleet logistics, contractual structure (FOB vs DES), storage deliverability curves, interconnector flow modelling, and the conceptual framework for the merit-order stack. This was the intellectual foundation for everything that followed.</w:t>
      </w:r>
    </w:p>
    <w:p>
      <w:pPr>
        <w:spacing w:before="200" w:after="100"/>
      </w:pPr>
      <w:r>
        <w:rPr>
          <w:rFonts w:ascii="Arial" w:cs="Arial" w:eastAsia="Arial" w:hAnsi="Arial"/>
          <w:b/>
          <w:bCs/>
          <w:color w:val="000000"/>
          <w:sz w:val="22"/>
          <w:szCs w:val="22"/>
        </w:rPr>
        <w:t xml:space="preserve">Turn 4: Quantitative framework (Excel)</w:t>
      </w:r>
    </w:p>
    <w:p>
      <w:pPr>
        <w:spacing w:after="120" w:line="276"/>
      </w:pPr>
      <w:r>
        <w:rPr>
          <w:rFonts w:ascii="Arial" w:cs="Arial" w:eastAsia="Arial" w:hAnsi="Arial"/>
          <w:b w:val="false"/>
          <w:bCs w:val="false"/>
          <w:i w:val="false"/>
          <w:iCs w:val="false"/>
          <w:color w:val="000000"/>
          <w:sz w:val="20"/>
          <w:szCs w:val="20"/>
        </w:rPr>
        <w:t xml:space="preserve">The user asked for a quantitative framework. I built a seven-tab Excel workbook with formula linkages, industry-standard colour coding, and a complete data model. This required translating the conceptual framework into specific cell references, formula chains, and data structures. The design decision to use openpyxl with Excel formulas (rather than hardcoded Python calculations) ensured the spreadsheet remains dynamic and auditable.</w:t>
      </w:r>
    </w:p>
    <w:p>
      <w:pPr>
        <w:spacing w:before="200" w:after="100"/>
      </w:pPr>
      <w:r>
        <w:rPr>
          <w:rFonts w:ascii="Arial" w:cs="Arial" w:eastAsia="Arial" w:hAnsi="Arial"/>
          <w:b/>
          <w:bCs/>
          <w:color w:val="000000"/>
          <w:sz w:val="22"/>
          <w:szCs w:val="22"/>
        </w:rPr>
        <w:t xml:space="preserve">Turn 5: Python + React dashboard</w:t>
      </w:r>
    </w:p>
    <w:p>
      <w:pPr>
        <w:spacing w:after="120" w:line="276"/>
      </w:pPr>
      <w:r>
        <w:rPr>
          <w:rFonts w:ascii="Arial" w:cs="Arial" w:eastAsia="Arial" w:hAnsi="Arial"/>
          <w:b w:val="false"/>
          <w:bCs w:val="false"/>
          <w:i w:val="false"/>
          <w:iCs w:val="false"/>
          <w:color w:val="000000"/>
          <w:sz w:val="20"/>
          <w:szCs w:val="20"/>
        </w:rPr>
        <w:t xml:space="preserve">The user asked for Python code with a frontend and graphs. I built two components: a Python calculation engine using dataclasses (clean architecture, JSON export, no external dependencies) and a React dashboard with Recharts (seven interactive tabs, dark theme, year selector). The key design decision was separating the calculation engine from the presentation layer, allowing either component to be used independently.</w:t>
      </w:r>
    </w:p>
    <w:p>
      <w:pPr>
        <w:spacing w:before="200" w:after="100"/>
      </w:pPr>
      <w:r>
        <w:rPr>
          <w:rFonts w:ascii="Arial" w:cs="Arial" w:eastAsia="Arial" w:hAnsi="Arial"/>
          <w:b/>
          <w:bCs/>
          <w:color w:val="000000"/>
          <w:sz w:val="22"/>
          <w:szCs w:val="22"/>
        </w:rPr>
        <w:t xml:space="preserve">Turn 6: Jupyter notebook</w:t>
      </w:r>
    </w:p>
    <w:p>
      <w:pPr>
        <w:spacing w:after="120" w:line="276"/>
      </w:pPr>
      <w:r>
        <w:rPr>
          <w:rFonts w:ascii="Arial" w:cs="Arial" w:eastAsia="Arial" w:hAnsi="Arial"/>
          <w:b w:val="false"/>
          <w:bCs w:val="false"/>
          <w:i w:val="false"/>
          <w:iCs w:val="false"/>
          <w:color w:val="000000"/>
          <w:sz w:val="20"/>
          <w:szCs w:val="20"/>
        </w:rPr>
        <w:t xml:space="preserve">The user asked for an ipynb file. I restructured the entire model into a 28-cell notebook that combines code, calculations, charts, and narrative explanation in a single self-contained document. The design priority was that it runs immediately with just numpy/pandas/matplotlib and requires no external data files.</w:t>
      </w:r>
    </w:p>
    <w:p>
      <w:pPr>
        <w:pBdr>
          <w:bottom w:val="single" w:color="2E75B6" w:sz="3" w:space="1"/>
        </w:pBdr>
        <w:spacing w:before="200" w:after="200"/>
      </w:pPr>
    </w:p>
    <w:p>
      <w:pPr>
        <w:spacing w:after="60"/>
      </w:pPr>
    </w:p>
    <w:p>
      <w:pPr>
        <w:spacing w:before="200"/>
        <w:jc w:val="center"/>
      </w:pPr>
      <w:r>
        <w:rPr>
          <w:rFonts w:ascii="Arial" w:cs="Arial" w:eastAsia="Arial" w:hAnsi="Arial"/>
          <w:i/>
          <w:iCs/>
          <w:color w:val="666666"/>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after="120"/>
    </w:pPr>
    <w:r>
      <w:rPr>
        <w:rFonts w:ascii="Arial" w:cs="Arial" w:eastAsia="Arial" w:hAnsi="Arial"/>
        <w:b/>
        <w:bCs/>
        <w:color w:val="2E75B6"/>
        <w:sz w:val="16"/>
        <w:szCs w:val="16"/>
      </w:rPr>
      <w:t xml:space="preserve">TTF Gas Supply Stack Curve</w:t>
    </w:r>
    <w:r>
      <w:rPr>
        <w:rFonts w:ascii="Arial" w:cs="Arial" w:eastAsia="Arial" w:hAnsi="Arial"/>
        <w:color w:val="666666"/>
        <w:sz w:val="16"/>
        <w:szCs w:val="16"/>
      </w:rPr>
      <w:t xml:space="preserve">    Thought Process &amp;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2026-03-14T15:26:32.669Z</dcterms:created>
  <dcterms:modified xsi:type="dcterms:W3CDTF">2026-03-14T15:26:32.671Z</dcterms:modified>
</cp:coreProperties>
</file>

<file path=docProps/custom.xml><?xml version="1.0" encoding="utf-8"?>
<Properties xmlns="http://schemas.openxmlformats.org/officeDocument/2006/custom-properties" xmlns:vt="http://schemas.openxmlformats.org/officeDocument/2006/docPropsVTypes"/>
</file>