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36"/>
        </w:rPr>
        <w:t>Northwind Logistics Group</w:t>
      </w:r>
    </w:p>
    <w:p>
      <w:r>
        <w:rPr>
          <w:color w:val="5B6478"/>
          <w:sz w:val="22"/>
        </w:rPr>
        <w:t>CFO management commentary | Q2 2026</w:t>
      </w:r>
    </w:p>
    <w:p>
      <w:pPr>
        <w:spacing w:after="120" w:line="276" w:lineRule="auto"/>
      </w:pPr>
      <w:r>
        <w:t>To: Prospective lenders and their advisers</w:t>
      </w:r>
    </w:p>
    <w:p>
      <w:pPr>
        <w:spacing w:after="120" w:line="276" w:lineRule="auto"/>
      </w:pPr>
      <w:r>
        <w:t>From: Katarzyna Nowak, Chief Financial Officer</w:t>
      </w:r>
    </w:p>
    <w:p>
      <w:pPr>
        <w:spacing w:after="120" w:line="276" w:lineRule="auto"/>
      </w:pPr>
      <w:r>
        <w:t>Date: 14 October 2026</w:t>
      </w:r>
    </w:p>
    <w:p>
      <w:pPr>
        <w:spacing w:after="120" w:line="276" w:lineRule="auto"/>
      </w:pPr>
      <w:r>
        <w:t>Reporting period: LTM to 30 June 2026 (unaudited management accounts).</w:t>
      </w:r>
    </w:p>
    <w:p>
      <w:pPr>
        <w:spacing w:before="240" w:after="80"/>
      </w:pPr>
      <w:r>
        <w:rPr>
          <w:b/>
          <w:color w:val="14213D"/>
          <w:sz w:val="26"/>
        </w:rPr>
        <w:t>1. Trading summary</w:t>
      </w:r>
    </w:p>
    <w:p>
      <w:pPr>
        <w:spacing w:after="120" w:line="276" w:lineRule="auto"/>
      </w:pPr>
      <w:r>
        <w:t>Revenue for the last twelve months was USD 128.0 million and EBITDA was USD 11.5 million, an EBITDA margin of 9.0%. Trading is in line with the budget presented to the board in January.</w:t>
      </w:r>
    </w:p>
    <w:p>
      <w:pPr>
        <w:spacing w:before="240" w:after="80"/>
      </w:pPr>
      <w:r>
        <w:rPr>
          <w:b/>
          <w:color w:val="14213D"/>
          <w:sz w:val="26"/>
        </w:rPr>
        <w:t>2. Group cash-pool balance</w:t>
      </w:r>
    </w:p>
    <w:p>
      <w:pPr>
        <w:spacing w:after="120" w:line="276" w:lineRule="auto"/>
      </w:pPr>
      <w:r>
        <w:t>The USD 48.0 million shown as group funding in the consolidated financing report is a cash tranche placed by Northwind Holding Sp. z o.o., a sister company under common ownership, under the group cash-pooling agreement. The balance is repayable on demand, bears no interest and is cleared against the pooled account at each month-end. It is not borrowed money and does not constitute financial indebtedness.</w:t>
      </w:r>
    </w:p>
    <w:p>
      <w:pPr>
        <w:spacing w:after="120" w:line="276" w:lineRule="auto"/>
      </w:pPr>
      <w:r>
        <w:t>The credit registry classifies the account as a loan because of its account type code. We have asked the registry to correct the classification.</w:t>
      </w:r>
    </w:p>
    <w:p>
      <w:pPr>
        <w:spacing w:before="240" w:after="80"/>
      </w:pPr>
      <w:r>
        <w:rPr>
          <w:b/>
          <w:color w:val="14213D"/>
          <w:sz w:val="26"/>
        </w:rPr>
        <w:t>3. Adjusted debt and leverage</w:t>
      </w:r>
    </w:p>
    <w:p>
      <w:pPr>
        <w:spacing w:after="120" w:line="276" w:lineRule="auto"/>
      </w:pPr>
      <w:r>
        <w:t>Adjusted financial debt is USD 34.0 million, comprising the senior term loan (USD 24.0 million), the revolving credit facility (USD 6.0 million) and equipment leases (USD 4.0 million). Adjusted leverage is 3.0x LTM EBITDA.</w:t>
      </w:r>
    </w:p>
    <w:p>
      <w:pPr>
        <w:spacing w:after="120" w:line="276" w:lineRule="auto"/>
      </w:pPr>
      <w:r>
        <w:t>Adjusted net financial debt, after USD 6.2 million of cash, is USD 27.8 million.</w:t>
      </w:r>
    </w:p>
    <w:tbl>
      <w:tblPr>
        <w:tblStyle w:val="LightGrid-Accent1"/>
        <w:tblW w:type="auto" w:w="0"/>
        <w:tblLook w:firstColumn="1" w:firstRow="1" w:lastColumn="0" w:lastRow="0" w:noHBand="0" w:noVBand="1" w:val="04A0"/>
      </w:tblPr>
      <w:tblGrid>
        <w:gridCol w:w="3173"/>
        <w:gridCol w:w="3173"/>
        <w:gridCol w:w="3173"/>
      </w:tblGrid>
      <w:tr>
        <w:tc>
          <w:tcPr>
            <w:tcW w:type="dxa" w:w="3173"/>
          </w:tcPr>
          <w:p>
            <w:r>
              <w:t>Item</w:t>
            </w:r>
          </w:p>
        </w:tc>
        <w:tc>
          <w:tcPr>
            <w:tcW w:type="dxa" w:w="3173"/>
          </w:tcPr>
          <w:p>
            <w:r>
              <w:t>Financing report (USD m)</w:t>
            </w:r>
          </w:p>
        </w:tc>
        <w:tc>
          <w:tcPr>
            <w:tcW w:type="dxa" w:w="3173"/>
          </w:tcPr>
          <w:p>
            <w:r>
              <w:t>Adjusted (USD m)</w:t>
            </w:r>
          </w:p>
        </w:tc>
      </w:tr>
      <w:tr>
        <w:tc>
          <w:tcPr>
            <w:tcW w:type="dxa" w:w="3173"/>
          </w:tcPr>
          <w:p>
            <w:r>
              <w:t>Total financial debt</w:t>
            </w:r>
          </w:p>
        </w:tc>
        <w:tc>
          <w:tcPr>
            <w:tcW w:type="dxa" w:w="3173"/>
          </w:tcPr>
          <w:p>
            <w:r>
              <w:t>82.0</w:t>
            </w:r>
          </w:p>
        </w:tc>
        <w:tc>
          <w:tcPr>
            <w:tcW w:type="dxa" w:w="3173"/>
          </w:tcPr>
          <w:p>
            <w:r>
              <w:t>34.0</w:t>
            </w:r>
          </w:p>
        </w:tc>
      </w:tr>
      <w:tr>
        <w:tc>
          <w:tcPr>
            <w:tcW w:type="dxa" w:w="3173"/>
          </w:tcPr>
          <w:p>
            <w:r>
              <w:t>Net financial debt</w:t>
            </w:r>
          </w:p>
        </w:tc>
        <w:tc>
          <w:tcPr>
            <w:tcW w:type="dxa" w:w="3173"/>
          </w:tcPr>
          <w:p>
            <w:r>
              <w:t>75.8</w:t>
            </w:r>
          </w:p>
        </w:tc>
        <w:tc>
          <w:tcPr>
            <w:tcW w:type="dxa" w:w="3173"/>
          </w:tcPr>
          <w:p>
            <w:r>
              <w:t>27.8</w:t>
            </w:r>
          </w:p>
        </w:tc>
      </w:tr>
      <w:tr>
        <w:tc>
          <w:tcPr>
            <w:tcW w:type="dxa" w:w="3173"/>
          </w:tcPr>
          <w:p>
            <w:r>
              <w:t>Debt / EBITDA (x)</w:t>
            </w:r>
          </w:p>
        </w:tc>
        <w:tc>
          <w:tcPr>
            <w:tcW w:type="dxa" w:w="3173"/>
          </w:tcPr>
          <w:p>
            <w:r>
              <w:t>7.1</w:t>
            </w:r>
          </w:p>
        </w:tc>
        <w:tc>
          <w:tcPr>
            <w:tcW w:type="dxa" w:w="3173"/>
          </w:tcPr>
          <w:p>
            <w:r>
              <w:t>3.0</w:t>
            </w:r>
          </w:p>
        </w:tc>
      </w:tr>
      <w:tr>
        <w:tc>
          <w:tcPr>
            <w:tcW w:type="dxa" w:w="3173"/>
          </w:tcPr>
          <w:p>
            <w:r>
              <w:t>NPL ratio (%)</w:t>
            </w:r>
          </w:p>
        </w:tc>
        <w:tc>
          <w:tcPr>
            <w:tcW w:type="dxa" w:w="3173"/>
          </w:tcPr>
          <w:p>
            <w:r>
              <w:t>6.8</w:t>
            </w:r>
          </w:p>
        </w:tc>
        <w:tc>
          <w:tcPr>
            <w:tcW w:type="dxa" w:w="3173"/>
          </w:tcPr>
          <w:p>
            <w:r>
              <w:t>2.1</w:t>
            </w:r>
          </w:p>
        </w:tc>
      </w:tr>
    </w:tbl>
    <w:p/>
    <w:p>
      <w:pPr>
        <w:spacing w:before="240" w:after="80"/>
      </w:pPr>
      <w:r>
        <w:rPr>
          <w:b/>
          <w:color w:val="14213D"/>
          <w:sz w:val="26"/>
        </w:rPr>
        <w:t>4. Asset quality</w:t>
      </w:r>
    </w:p>
    <w:p>
      <w:pPr>
        <w:spacing w:after="120" w:line="276" w:lineRule="auto"/>
      </w:pPr>
      <w:r>
        <w:t>Of the USD 5.6 million non-performing exposure reported in the financing report, USD 4.9 million relates to a month-end clearing timing difference on the cash pool, which was settled on 3 July 2026. Adjusted non-performing exposure is therefore USD 0.7 million, an adjusted NPL ratio of 2.1%.</w:t>
      </w:r>
    </w:p>
    <w:p>
      <w:pPr>
        <w:spacing w:before="240" w:after="80"/>
      </w:pPr>
      <w:r>
        <w:rPr>
          <w:b/>
          <w:color w:val="14213D"/>
          <w:sz w:val="26"/>
        </w:rPr>
        <w:t>5. Supporting documents</w:t>
      </w:r>
    </w:p>
    <w:p>
      <w:pPr>
        <w:spacing w:after="120" w:line="276" w:lineRule="auto"/>
      </w:pPr>
      <w:r>
        <w:t>The accompanying workbook (Northwind_Management_Accounts_Q2_2026.xlsx) contains the debt bridge and the non-performing exposure reconciliation. Bank confirmation of the 3 July settlement is available on request.</w:t>
      </w:r>
    </w:p>
    <w:p>
      <w:pPr>
        <w:spacing w:before="360"/>
      </w:pPr>
      <w:r>
        <w:rPr>
          <w:b/>
        </w:rPr>
        <w:t>Katarzyna Nowak</w:t>
      </w:r>
    </w:p>
    <w:p>
      <w:r>
        <w:t>Chief Financial Officer, Northwind Logistics Group</w:t>
      </w:r>
    </w:p>
    <w:sectPr w:rsidR="00FC693F" w:rsidRPr="0006063C" w:rsidSect="00034616">
      <w:pgSz w:w="12240" w:h="15840"/>
      <w:pgMar w:top="1247" w:right="1361" w:bottom="144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