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 поводу размеров: они пишут, что строго не регулируют размеры статей, но тем не менее желательно выполнить следующие ограничения: 11 страниц, 4500 слов на основную статью, 1500 слов на методы.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 нас сейчас в основной статье приблизительно </w:t>
      </w:r>
      <w:r>
        <w:rPr>
          <w:lang w:val="en-US"/>
        </w:rPr>
        <w:t>40</w:t>
      </w:r>
      <w:r>
        <w:rPr>
          <w:lang w:val="ru-RU"/>
        </w:rPr>
        <w:t>00 слов, так что некоторое пространство ещё есть. В методах 1600 слов, т. е. есть небольшой перебор, поэтому с одной стороны, возможно, стоит что-то перенести в основную часть.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 страницами сложнее. Основная часть занимает 9 страниц с небольшим, но всё вместе – 20 страниц, видимо, из-за количества формул в методах. Так что с этой точки зрения перенос не столь хорош.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К тому же это может размазать основные результаты, которые сейчас отдельно находятся в основной части.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Также они предполагают, что порядок в статье такой: введение, результаты, обсуждение, методы. Я видел статьи, в которых этот порядок не соблюдался, т. е. методы были в основной части, но эти статьи значительно короче нашей.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Теперь по замечаниям рецензентов. Первое замечание первого рецензента – заголовок не отражает генерацию именно третьей гармоники. Учитывая, что пятая гармоника ушла в отдельную статью, будем ли мы менять заголовок?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Также он считает, что мы недостаточно чётко сформулировали основные результаты в абстракте и в заключении. Нужно ли мне что-то менять в них сейчас?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 поводу физического обоснования я пока ничего не добавлял. В статье ди Трапани, например, есть скорее описание: слагаемое </w:t>
      </w:r>
      <w:r>
        <w:rPr>
          <w:lang w:val="en-US"/>
        </w:rPr>
        <w:t xml:space="preserve">|A|^2A </w:t>
      </w:r>
      <w:r>
        <w:rPr>
          <w:lang w:val="ru-RU"/>
        </w:rPr>
        <w:t>возникает из последовательного действия процессов генерации второй гармоники, за которым следует процесс генерации разностной частоты. Если такого достаточно, то я могу это добавить для нашей ситуации.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Теперь по поводу сравнения нашего подхода с другими, в т.ч. с классическим. Вообще-то, у нас уже есть и небольшой обзор других подходов и описание наших преимуществ. В частности, основная работа – работа Крэкстона – по генерации в двух кристаллах есть. 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Я не стал писать обзор экспериментальных работ, потому что, несмотря на то, что они удовлетворяют формальных признакам (в них указана плотность мощности (везде примерно 1-</w:t>
      </w:r>
      <w:r>
        <w:rPr>
          <w:lang w:val="en-US"/>
        </w:rPr>
        <w:t>10ГВт</w:t>
      </w:r>
      <w:r>
        <w:rPr>
          <w:lang w:val="ru-RU"/>
        </w:rPr>
        <w:t>/см</w:t>
      </w:r>
      <w:r>
        <w:rPr>
          <w:lang w:val="en-US"/>
        </w:rPr>
        <w:t>^2</w:t>
      </w:r>
      <w:r>
        <w:rPr>
          <w:lang w:val="ru-RU"/>
        </w:rPr>
        <w:t>), длина среды, эффективность и т.д.), многие из них направлены на решение проблем, связанных не с методом генерации, а с самой третьей гармоникой и с экспериментальными затруднениями. К нашему теоретическому исследованию это относится побочно.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Возвращаясь, к работе Крэкстона, то максимальная возможная теоретическая эффективность в этой работе – 100% (правда, по-видимому никогда не достигнутая), так что в этом вопросе мы даже несколько проигрываем (у нас около 93%). Так что если говорить о преимуществах нашего подхода, то это прежде всего простота. Нам не требуются два кристалла, или кристалл со сложной структурой, или дополнительные аксессуары, при этом обещанная эффективность высока.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 замечание про фазовые расстройки я ответил. Наверное, новых графиков вполне достаточно для покрытия длинных импульсов, которого требовал первый рецензент.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График и обсуждение из заключения перенёс. Также к нему добавил ещё одно доказательство индуцированной кубичной среды.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 поводу удаления кубичных слагаемых я так и не придумал ничего хорошего. С одной стороны, вроде бы и нужно их локализовать в одном пункте, где о них идёт речь. С другой стороны, у нас к ним достаточно много привязок в тексте (описание параметра альфа, описание самих слагаемых). Если всё это переносить в отдельную часть, то, по-моему, структура будет выглядеть ещё хуже.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Заключение уменьшилось.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en-US"/>
        </w:rPr>
        <w:t xml:space="preserve">C Supplementary Information </w:t>
      </w:r>
      <w:r>
        <w:rPr>
          <w:lang w:val="ru-RU"/>
        </w:rPr>
        <w:t xml:space="preserve">я ничего не делал, хотя надо, если мы будем делать публикацию в </w:t>
      </w:r>
      <w:r>
        <w:rPr>
          <w:lang w:val="en-US"/>
        </w:rPr>
        <w:t xml:space="preserve">PLOS One. 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Замечание второго рецензента про структуру и </w:t>
      </w:r>
      <w:r>
        <w:rPr>
          <w:lang w:val="en-US"/>
        </w:rPr>
        <w:t>“</w:t>
      </w:r>
      <w:r>
        <w:rPr>
          <w:lang w:val="ru-RU"/>
        </w:rPr>
        <w:t xml:space="preserve">непонятные описания вроде </w:t>
      </w:r>
      <w:r>
        <w:rPr>
          <w:lang w:val="en-US"/>
        </w:rPr>
        <w:t>in</w:t>
      </w:r>
      <w:r>
        <w:rPr>
          <w:vertAlign w:val="superscript"/>
          <w:lang w:val="en-US"/>
        </w:rPr>
        <w:t>10</w:t>
      </w:r>
      <w:r>
        <w:rPr>
          <w:position w:val="0"/>
          <w:sz w:val="24"/>
          <w:sz w:val="24"/>
          <w:vertAlign w:val="baseline"/>
          <w:lang w:val="en-US"/>
        </w:rPr>
        <w:t xml:space="preserve">”, </w:t>
      </w:r>
      <w:r>
        <w:rPr>
          <w:position w:val="0"/>
          <w:sz w:val="24"/>
          <w:sz w:val="24"/>
          <w:vertAlign w:val="baseline"/>
          <w:lang w:val="ru-RU"/>
        </w:rPr>
        <w:t xml:space="preserve">которые на самом деле являются ссылками на литературу, хотя выглядят странно. Поскольку формат </w:t>
      </w:r>
      <w:r>
        <w:rPr>
          <w:position w:val="0"/>
          <w:sz w:val="24"/>
          <w:sz w:val="24"/>
          <w:vertAlign w:val="baseline"/>
          <w:lang w:val="en-US"/>
        </w:rPr>
        <w:t xml:space="preserve">SR </w:t>
      </w:r>
      <w:r>
        <w:rPr>
          <w:position w:val="0"/>
          <w:sz w:val="24"/>
          <w:sz w:val="24"/>
          <w:vertAlign w:val="baseline"/>
          <w:lang w:val="ru-RU"/>
        </w:rPr>
        <w:t xml:space="preserve">подразумевает именно надстрочный формат ссылок, то будем ли мы избавляться от этих </w:t>
      </w:r>
      <w:r>
        <w:rPr>
          <w:position w:val="0"/>
          <w:sz w:val="24"/>
          <w:sz w:val="24"/>
          <w:vertAlign w:val="baseline"/>
          <w:lang w:val="en-US"/>
        </w:rPr>
        <w:t xml:space="preserve">in? </w:t>
      </w:r>
      <w:r>
        <w:rPr>
          <w:position w:val="0"/>
          <w:sz w:val="24"/>
          <w:sz w:val="24"/>
          <w:vertAlign w:val="baseline"/>
          <w:lang w:val="ru-RU"/>
        </w:rPr>
        <w:t>Таких случаев не очень много.</w:t>
      </w:r>
    </w:p>
    <w:p>
      <w:pPr>
        <w:pStyle w:val="Normal"/>
        <w:numPr>
          <w:ilvl w:val="0"/>
          <w:numId w:val="1"/>
        </w:numPr>
        <w:rPr/>
      </w:pPr>
      <w:r>
        <w:rPr>
          <w:position w:val="0"/>
          <w:sz w:val="24"/>
          <w:sz w:val="24"/>
          <w:vertAlign w:val="baseline"/>
          <w:lang w:val="ru-RU"/>
        </w:rPr>
        <w:t xml:space="preserve">Ещё один момент – не слишком ли странно сейчас выглядит часть про короткие импульсы. Поскольку раньше, когда всё было вместе, всё было логично: мы посмотрели влияние дисперсии, затем влияние расстроек фаз, затем расстроек групповых скоростей. А сейчас у нас фактически нету РГС в основной части, и если читатель/рецензент не будет заглядывать в </w:t>
      </w:r>
      <w:r>
        <w:rPr>
          <w:position w:val="0"/>
          <w:sz w:val="24"/>
          <w:sz w:val="24"/>
          <w:vertAlign w:val="baseline"/>
          <w:lang w:val="en-US"/>
        </w:rPr>
        <w:t>Supplementary Information (</w:t>
      </w:r>
      <w:r>
        <w:rPr>
          <w:position w:val="0"/>
          <w:sz w:val="24"/>
          <w:sz w:val="24"/>
          <w:vertAlign w:val="baseline"/>
          <w:lang w:val="ru-RU"/>
        </w:rPr>
        <w:t xml:space="preserve">которая есть только на сайте), то у него могут возникнуть вопросы, </w:t>
      </w:r>
      <w:r>
        <w:rPr>
          <w:position w:val="0"/>
          <w:sz w:val="24"/>
          <w:sz w:val="24"/>
          <w:vertAlign w:val="baseline"/>
          <w:lang w:val="ru-RU"/>
        </w:rPr>
        <w:t>почему мы не учитываем РГС, которая влияет сильнее, чем дисперсия?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619</TotalTime>
  <Application>LibreOffice/5.4.4.2$Windows_x86 LibreOffice_project/2524958677847fb3bb44820e40380acbe820f960</Application>
  <Pages>2</Pages>
  <Words>649</Words>
  <Characters>3750</Characters>
  <CharactersWithSpaces>4371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2020-11-17T09:09:39Z</dcterms:created>
  <dc:creator/>
  <dc:description/>
  <dc:language>ru-RU</dc:language>
  <cp:lastModifiedBy/>
  <dcterms:modified xsi:type="dcterms:W3CDTF">2020-11-17T23:00:49Z</dcterms:modified>
  <cp:revision>4</cp:revision>
  <dc:subject/>
  <dc:title/>
</cp:coreProperties>
</file>