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F33AD" w14:textId="4A29EEC6" w:rsidR="00E175F5" w:rsidRDefault="000778EB" w:rsidP="000778EB">
      <w:pPr>
        <w:pStyle w:val="Heading1"/>
      </w:pPr>
      <w:r>
        <w:rPr>
          <w:lang w:val="ru-RU"/>
        </w:rPr>
        <w:t xml:space="preserve">Миграция с </w:t>
      </w:r>
      <w:r>
        <w:t xml:space="preserve">SQL Server </w:t>
      </w:r>
      <w:r>
        <w:rPr>
          <w:lang w:val="ru-RU"/>
        </w:rPr>
        <w:t xml:space="preserve">на </w:t>
      </w:r>
      <w:r>
        <w:t>PostgreSQL</w:t>
      </w:r>
    </w:p>
    <w:p w14:paraId="14EDE68D" w14:textId="3D151FD8" w:rsidR="000778EB" w:rsidRDefault="000778EB" w:rsidP="000778EB">
      <w:pPr>
        <w:rPr>
          <w:lang w:val="ru-RU"/>
        </w:rPr>
      </w:pPr>
      <w:r>
        <w:rPr>
          <w:lang w:val="ru-RU"/>
        </w:rPr>
        <w:t>Миграция может выполняться для целей тестирования, в этом случае необходимо выполнить обезличивание данных.</w:t>
      </w:r>
    </w:p>
    <w:p w14:paraId="57E4845B" w14:textId="69228E7F" w:rsidR="000778EB" w:rsidRDefault="000778EB" w:rsidP="000778EB">
      <w:pPr>
        <w:rPr>
          <w:lang w:val="ru-RU"/>
        </w:rPr>
      </w:pPr>
      <w:r>
        <w:rPr>
          <w:lang w:val="ru-RU"/>
        </w:rPr>
        <w:t>Обезличивание данных состоит из двух этапов:</w:t>
      </w:r>
    </w:p>
    <w:p w14:paraId="354C3F27" w14:textId="52AE2493" w:rsidR="000778EB" w:rsidRDefault="000778EB" w:rsidP="000778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данных на наличие персональных данных. Анализ заключается в поиске имен людей и согласованной их замене на обезличенные идентификаторы.</w:t>
      </w:r>
    </w:p>
    <w:p w14:paraId="7BF49780" w14:textId="06CFC804" w:rsidR="000778EB" w:rsidRPr="000778EB" w:rsidRDefault="000778EB" w:rsidP="000778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Экспорт данных из </w:t>
      </w:r>
      <w:r>
        <w:t xml:space="preserve">SQL Server c </w:t>
      </w:r>
      <w:r>
        <w:rPr>
          <w:lang w:val="ru-RU"/>
        </w:rPr>
        <w:t>одновременной заменой и сокрытием персональных данных в скалярных полях и полях</w:t>
      </w:r>
      <w:r>
        <w:t>,</w:t>
      </w:r>
      <w:r>
        <w:rPr>
          <w:lang w:val="ru-RU"/>
        </w:rPr>
        <w:t xml:space="preserve"> содержащих </w:t>
      </w:r>
      <w:r>
        <w:t>XML</w:t>
      </w:r>
    </w:p>
    <w:p w14:paraId="60B73905" w14:textId="7CED36AB" w:rsidR="000778EB" w:rsidRDefault="000778EB" w:rsidP="000778EB">
      <w:pPr>
        <w:rPr>
          <w:lang w:val="ru-RU"/>
        </w:rPr>
      </w:pPr>
      <w:r>
        <w:rPr>
          <w:lang w:val="ru-RU"/>
        </w:rPr>
        <w:t>Экспорт данных может осуществляться без процедуры обезличивания данных.</w:t>
      </w:r>
    </w:p>
    <w:p w14:paraId="36719724" w14:textId="038D249A" w:rsidR="000778EB" w:rsidRDefault="00EE6798" w:rsidP="000778EB">
      <w:pPr>
        <w:rPr>
          <w:lang w:val="ru-RU"/>
        </w:rPr>
      </w:pPr>
      <w:r>
        <w:rPr>
          <w:lang w:val="ru-RU"/>
        </w:rPr>
        <w:t>Экспорт данных может производиться непосредственно из таблиц и из запросов.</w:t>
      </w:r>
    </w:p>
    <w:p w14:paraId="2033CE19" w14:textId="4A1B51C8" w:rsidR="00EE6798" w:rsidRDefault="00EE6798" w:rsidP="000778EB">
      <w:pPr>
        <w:rPr>
          <w:lang w:val="ru-RU"/>
        </w:rPr>
      </w:pPr>
      <w:r>
        <w:rPr>
          <w:lang w:val="ru-RU"/>
        </w:rPr>
        <w:t xml:space="preserve">При импорте данных используются </w:t>
      </w:r>
      <w:r>
        <w:t xml:space="preserve">BULK INSERT (SQL Server) </w:t>
      </w:r>
      <w:r>
        <w:rPr>
          <w:lang w:val="ru-RU"/>
        </w:rPr>
        <w:t xml:space="preserve">или </w:t>
      </w:r>
      <w:r>
        <w:t xml:space="preserve">BINARY COPY (PostgreSQL) </w:t>
      </w:r>
      <w:r>
        <w:rPr>
          <w:lang w:val="ru-RU"/>
        </w:rPr>
        <w:t>для ускорения загрузки данных.</w:t>
      </w:r>
    </w:p>
    <w:p w14:paraId="6C6DC494" w14:textId="012AD5C2" w:rsidR="00EE6798" w:rsidRDefault="00EE6798" w:rsidP="000778EB">
      <w:r>
        <w:rPr>
          <w:lang w:val="ru-RU"/>
        </w:rPr>
        <w:t>При операции экспорта в БД назначения рекомендуется удалить внешние ключи и все индексы (кроме первичных ключей)</w:t>
      </w:r>
    </w:p>
    <w:p w14:paraId="2573373E" w14:textId="275584A6" w:rsidR="00EE6798" w:rsidRDefault="00EE6798" w:rsidP="000778EB">
      <w:pPr>
        <w:rPr>
          <w:lang w:val="ru-RU"/>
        </w:rPr>
      </w:pPr>
      <w:r>
        <w:rPr>
          <w:lang w:val="ru-RU"/>
        </w:rPr>
        <w:t>Для целей миграции созданы две утилиты:</w:t>
      </w:r>
    </w:p>
    <w:p w14:paraId="104F4663" w14:textId="150BCFBA" w:rsidR="00EE6798" w:rsidRDefault="00EE6798" w:rsidP="00EE6798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Finder </w:t>
      </w:r>
      <w:r>
        <w:rPr>
          <w:lang w:val="ru-RU"/>
        </w:rPr>
        <w:t>– поиск имен и присвоение уникальных идентификаторов</w:t>
      </w:r>
    </w:p>
    <w:p w14:paraId="2F0F7C83" w14:textId="6E8A2178" w:rsidR="00EE6798" w:rsidRPr="00EE6798" w:rsidRDefault="00EE6798" w:rsidP="00EE6798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SqlServerToPostgres – </w:t>
      </w:r>
      <w:r>
        <w:rPr>
          <w:lang w:val="ru-RU"/>
        </w:rPr>
        <w:t xml:space="preserve">утилита экспорта данных из </w:t>
      </w:r>
      <w:r>
        <w:t>SQL Server.</w:t>
      </w:r>
    </w:p>
    <w:p w14:paraId="1A817AEC" w14:textId="6F974439" w:rsidR="00EE6798" w:rsidRPr="00EE6798" w:rsidRDefault="00EE6798" w:rsidP="00EE6798">
      <w:r>
        <w:rPr>
          <w:lang w:val="ru-RU"/>
        </w:rPr>
        <w:t xml:space="preserve">Утилиты можно скомпилировать и выполнять как на </w:t>
      </w:r>
      <w:r>
        <w:t xml:space="preserve">Linux, </w:t>
      </w:r>
      <w:r>
        <w:rPr>
          <w:lang w:val="ru-RU"/>
        </w:rPr>
        <w:t xml:space="preserve">так и на </w:t>
      </w:r>
      <w:r>
        <w:t>Windows.</w:t>
      </w:r>
    </w:p>
    <w:p w14:paraId="244C375B" w14:textId="77777777" w:rsidR="00802763" w:rsidRDefault="0080276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89841CA" w14:textId="3DF0BDBF" w:rsidR="000778EB" w:rsidRDefault="000778EB" w:rsidP="000778EB">
      <w:pPr>
        <w:pStyle w:val="Heading2"/>
        <w:rPr>
          <w:lang w:val="ru-RU"/>
        </w:rPr>
      </w:pPr>
      <w:r>
        <w:rPr>
          <w:lang w:val="ru-RU"/>
        </w:rPr>
        <w:lastRenderedPageBreak/>
        <w:t>Обезличивание</w:t>
      </w:r>
      <w:r w:rsidR="00802763">
        <w:rPr>
          <w:lang w:val="ru-RU"/>
        </w:rPr>
        <w:t xml:space="preserve"> и миграция</w:t>
      </w:r>
      <w:r>
        <w:rPr>
          <w:lang w:val="ru-RU"/>
        </w:rPr>
        <w:t xml:space="preserve"> данных</w:t>
      </w:r>
    </w:p>
    <w:p w14:paraId="65681927" w14:textId="6C799B45" w:rsidR="000778EB" w:rsidRDefault="00EE6798" w:rsidP="00EE6798">
      <w:pPr>
        <w:pStyle w:val="Heading3"/>
      </w:pPr>
      <w:r>
        <w:t>Finder</w:t>
      </w:r>
    </w:p>
    <w:p w14:paraId="0B4BCC38" w14:textId="2C71ACED" w:rsidR="00EE6798" w:rsidRDefault="00EE6798" w:rsidP="00EE6798">
      <w:r>
        <w:rPr>
          <w:lang w:val="ru-RU"/>
        </w:rPr>
        <w:t xml:space="preserve">Настройки утилиты содержатся в файле </w:t>
      </w:r>
      <w:r>
        <w:t>appsettings.json</w:t>
      </w:r>
    </w:p>
    <w:p w14:paraId="4E6AE242" w14:textId="5DEE2C86" w:rsidR="00EE6798" w:rsidRPr="00EE6798" w:rsidRDefault="00EE6798" w:rsidP="00EE6798">
      <w:r w:rsidRPr="00EE6798">
        <w:rPr>
          <w:noProof/>
        </w:rPr>
        <w:drawing>
          <wp:inline distT="0" distB="0" distL="0" distR="0" wp14:anchorId="152EEFD7" wp14:editId="51CE4A33">
            <wp:extent cx="5943600" cy="2019300"/>
            <wp:effectExtent l="0" t="0" r="0" b="0"/>
            <wp:docPr id="6973859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595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B7DD" w14:textId="729C6892" w:rsidR="00EE6798" w:rsidRDefault="00EE6798" w:rsidP="00EE6798">
      <w:pPr>
        <w:rPr>
          <w:lang w:val="ru-RU"/>
        </w:rPr>
      </w:pPr>
      <w:r>
        <w:rPr>
          <w:lang w:val="ru-RU"/>
        </w:rPr>
        <w:t xml:space="preserve">В настройка необходимо указать строку подключения к БД, шаблон полного имени </w:t>
      </w:r>
      <w:r>
        <w:t xml:space="preserve">(SFM|FMS), </w:t>
      </w:r>
      <w:r>
        <w:rPr>
          <w:lang w:val="ru-RU"/>
        </w:rPr>
        <w:t>а также другие технические параметры необходимые для успешного выполнения утилиты.</w:t>
      </w:r>
    </w:p>
    <w:p w14:paraId="32AEF668" w14:textId="686DD547" w:rsidR="00EE6798" w:rsidRPr="00FC0758" w:rsidRDefault="00EE6798" w:rsidP="00EE6798">
      <w:pPr>
        <w:rPr>
          <w:lang w:val="ru-RU"/>
        </w:rPr>
      </w:pPr>
      <w:r>
        <w:rPr>
          <w:lang w:val="ru-RU"/>
        </w:rPr>
        <w:t>В результате работы утилит</w:t>
      </w:r>
      <w:r w:rsidR="00FC0758">
        <w:rPr>
          <w:lang w:val="ru-RU"/>
        </w:rPr>
        <w:t xml:space="preserve">а создает файл </w:t>
      </w:r>
      <w:r w:rsidR="00FC0758">
        <w:t xml:space="preserve">substitutions.json, </w:t>
      </w:r>
      <w:r w:rsidR="00FC0758">
        <w:rPr>
          <w:lang w:val="ru-RU"/>
        </w:rPr>
        <w:t>который содержит пары имени и соответствующего идентификатора, на который будет производится замена соответствующего имени при экспорте.</w:t>
      </w:r>
    </w:p>
    <w:p w14:paraId="4A8DDEC7" w14:textId="0B12FF57" w:rsidR="00FC0758" w:rsidRDefault="00FC0758" w:rsidP="00FC0758">
      <w:pPr>
        <w:jc w:val="center"/>
        <w:rPr>
          <w:lang w:val="ru-RU"/>
        </w:rPr>
      </w:pPr>
      <w:r w:rsidRPr="00FC0758">
        <w:rPr>
          <w:noProof/>
        </w:rPr>
        <w:drawing>
          <wp:inline distT="0" distB="0" distL="0" distR="0" wp14:anchorId="72DA536A" wp14:editId="636E20C8">
            <wp:extent cx="3423138" cy="3470681"/>
            <wp:effectExtent l="0" t="0" r="6350" b="0"/>
            <wp:docPr id="1061187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873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707" cy="34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7172" w14:textId="3853DAC6" w:rsidR="00FC0758" w:rsidRDefault="00FC0758" w:rsidP="00FC0758">
      <w:pPr>
        <w:pStyle w:val="Heading3"/>
      </w:pPr>
      <w:r>
        <w:lastRenderedPageBreak/>
        <w:t>SqlServerToPostgres</w:t>
      </w:r>
    </w:p>
    <w:p w14:paraId="4D2F9EA5" w14:textId="50FA41CC" w:rsidR="00FC0758" w:rsidRDefault="00FC0758" w:rsidP="00FC0758">
      <w:r>
        <w:rPr>
          <w:lang w:val="ru-RU"/>
        </w:rPr>
        <w:t>Данная утилита может работать в двух режимах</w:t>
      </w:r>
      <w:r>
        <w:t>:</w:t>
      </w:r>
    </w:p>
    <w:p w14:paraId="420DFB8B" w14:textId="1A9CC864" w:rsidR="00FC0758" w:rsidRPr="00FC0758" w:rsidRDefault="00FC0758" w:rsidP="00FC0758">
      <w:pPr>
        <w:pStyle w:val="ListParagraph"/>
        <w:numPr>
          <w:ilvl w:val="0"/>
          <w:numId w:val="3"/>
        </w:numPr>
      </w:pPr>
      <w:r>
        <w:t xml:space="preserve">GenerateExportOptions – </w:t>
      </w:r>
      <w:r>
        <w:rPr>
          <w:lang w:val="ru-RU"/>
        </w:rPr>
        <w:t>в этом режиме автоматически создается файл мэппинга таблиц и полей из БД источника с БД приёмника.</w:t>
      </w:r>
      <w:r w:rsidR="00764753">
        <w:t xml:space="preserve"> </w:t>
      </w:r>
      <w:r w:rsidR="00764753">
        <w:rPr>
          <w:lang w:val="ru-RU"/>
        </w:rPr>
        <w:t xml:space="preserve">Результатом работы утилиты является файл </w:t>
      </w:r>
      <w:r w:rsidR="00764753">
        <w:t xml:space="preserve">exports.json, </w:t>
      </w:r>
      <w:r w:rsidR="00764753">
        <w:rPr>
          <w:lang w:val="ru-RU"/>
        </w:rPr>
        <w:t xml:space="preserve">данные из которого могут быть использованы в качестве настроек секции </w:t>
      </w:r>
      <w:r w:rsidR="00764753">
        <w:t>Expors (appsettings.json)</w:t>
      </w:r>
    </w:p>
    <w:p w14:paraId="3D00FD6F" w14:textId="6791F09C" w:rsidR="00FC0758" w:rsidRPr="00FC0758" w:rsidRDefault="00FC0758" w:rsidP="00FC0758">
      <w:pPr>
        <w:pStyle w:val="ListParagraph"/>
        <w:numPr>
          <w:ilvl w:val="0"/>
          <w:numId w:val="3"/>
        </w:numPr>
      </w:pPr>
      <w:r>
        <w:t xml:space="preserve">Export – </w:t>
      </w:r>
      <w:r>
        <w:rPr>
          <w:lang w:val="ru-RU"/>
        </w:rPr>
        <w:t>режим экспорта данных в соответствии с настройками</w:t>
      </w:r>
    </w:p>
    <w:p w14:paraId="342A59C7" w14:textId="33581251" w:rsidR="00FC0758" w:rsidRDefault="00FC0758" w:rsidP="00FC0758">
      <w:r>
        <w:rPr>
          <w:lang w:val="ru-RU"/>
        </w:rPr>
        <w:t>Для упрощения процедуры экспорта в БД приёмнике рекомендуется удалить все внешние ключи и пересоздать их после завершения процесса миграции данных</w:t>
      </w:r>
      <w:r w:rsidR="00D62AD7">
        <w:t>.</w:t>
      </w:r>
    </w:p>
    <w:p w14:paraId="1ED0EAF4" w14:textId="121A8C72" w:rsidR="00D62AD7" w:rsidRPr="00802763" w:rsidRDefault="00802763" w:rsidP="00FC0758">
      <w:pPr>
        <w:rPr>
          <w:lang w:val="ru-RU"/>
        </w:rPr>
      </w:pPr>
      <w:r>
        <w:rPr>
          <w:lang w:val="ru-RU"/>
        </w:rPr>
        <w:t>Для обеспечения гибкости и снижения требований к объему БД миграцию данных можно производить частями.</w:t>
      </w:r>
    </w:p>
    <w:p w14:paraId="3FAED143" w14:textId="6F6B5CB9" w:rsidR="00FC0758" w:rsidRPr="00802763" w:rsidRDefault="00FC0758" w:rsidP="00D62AD7">
      <w:pPr>
        <w:keepNext/>
      </w:pPr>
      <w:r>
        <w:rPr>
          <w:lang w:val="ru-RU"/>
        </w:rPr>
        <w:t>Настройки:</w:t>
      </w:r>
    </w:p>
    <w:p w14:paraId="65AF093C" w14:textId="2563FF19" w:rsidR="00FC0758" w:rsidRDefault="00FC0758" w:rsidP="00FC0758">
      <w:pPr>
        <w:rPr>
          <w:lang w:val="ru-RU"/>
        </w:rPr>
      </w:pPr>
      <w:r w:rsidRPr="00FC0758">
        <w:rPr>
          <w:noProof/>
          <w:lang w:val="ru-RU"/>
        </w:rPr>
        <w:drawing>
          <wp:inline distT="0" distB="0" distL="0" distR="0" wp14:anchorId="083E310F" wp14:editId="0571CBE6">
            <wp:extent cx="5943600" cy="3532505"/>
            <wp:effectExtent l="0" t="0" r="0" b="0"/>
            <wp:docPr id="937521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218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673" w14:textId="77777777" w:rsidR="00FC0758" w:rsidRPr="00FC0758" w:rsidRDefault="00FC0758" w:rsidP="00FC075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1978"/>
        <w:gridCol w:w="4232"/>
      </w:tblGrid>
      <w:tr w:rsidR="00FC0758" w:rsidRPr="00543C5F" w14:paraId="26DF6D34" w14:textId="77777777" w:rsidTr="00D62AD7">
        <w:trPr>
          <w:cantSplit/>
          <w:tblHeader/>
        </w:trPr>
        <w:tc>
          <w:tcPr>
            <w:tcW w:w="3116" w:type="dxa"/>
          </w:tcPr>
          <w:p w14:paraId="5B58DBF4" w14:textId="19643658" w:rsidR="00FC0758" w:rsidRPr="00543C5F" w:rsidRDefault="00FC0758" w:rsidP="00543C5F">
            <w:pPr>
              <w:spacing w:before="120" w:after="120"/>
              <w:jc w:val="center"/>
              <w:rPr>
                <w:b/>
                <w:bCs/>
                <w:lang w:val="ru-RU"/>
              </w:rPr>
            </w:pPr>
            <w:r w:rsidRPr="00543C5F">
              <w:rPr>
                <w:b/>
                <w:bCs/>
                <w:lang w:val="ru-RU"/>
              </w:rPr>
              <w:t>Свойство</w:t>
            </w:r>
          </w:p>
        </w:tc>
        <w:tc>
          <w:tcPr>
            <w:tcW w:w="1982" w:type="dxa"/>
          </w:tcPr>
          <w:p w14:paraId="7AFB034B" w14:textId="3FC84213" w:rsidR="00FC0758" w:rsidRPr="00543C5F" w:rsidRDefault="00FC0758" w:rsidP="00543C5F">
            <w:pPr>
              <w:spacing w:before="120" w:after="120"/>
              <w:jc w:val="center"/>
              <w:rPr>
                <w:b/>
                <w:bCs/>
                <w:lang w:val="ru-RU"/>
              </w:rPr>
            </w:pPr>
            <w:r w:rsidRPr="00543C5F">
              <w:rPr>
                <w:b/>
                <w:bCs/>
                <w:lang w:val="ru-RU"/>
              </w:rPr>
              <w:t>Тип</w:t>
            </w:r>
          </w:p>
        </w:tc>
        <w:tc>
          <w:tcPr>
            <w:tcW w:w="4252" w:type="dxa"/>
          </w:tcPr>
          <w:p w14:paraId="0ABA446B" w14:textId="4C21F07E" w:rsidR="00FC0758" w:rsidRPr="00543C5F" w:rsidRDefault="00FC0758" w:rsidP="00543C5F">
            <w:pPr>
              <w:spacing w:before="120" w:after="120"/>
              <w:jc w:val="center"/>
              <w:rPr>
                <w:b/>
                <w:bCs/>
                <w:lang w:val="ru-RU"/>
              </w:rPr>
            </w:pPr>
            <w:r w:rsidRPr="00543C5F">
              <w:rPr>
                <w:b/>
                <w:bCs/>
                <w:lang w:val="ru-RU"/>
              </w:rPr>
              <w:t>Комментарий</w:t>
            </w:r>
          </w:p>
        </w:tc>
      </w:tr>
      <w:tr w:rsidR="00FC0758" w14:paraId="3C2F80DC" w14:textId="77777777" w:rsidTr="00543C5F">
        <w:trPr>
          <w:cantSplit/>
        </w:trPr>
        <w:tc>
          <w:tcPr>
            <w:tcW w:w="3116" w:type="dxa"/>
          </w:tcPr>
          <w:p w14:paraId="646D1D6F" w14:textId="309040BB" w:rsidR="00FC0758" w:rsidRPr="00543C5F" w:rsidRDefault="00FC0758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>OperationsType</w:t>
            </w:r>
          </w:p>
        </w:tc>
        <w:tc>
          <w:tcPr>
            <w:tcW w:w="1982" w:type="dxa"/>
          </w:tcPr>
          <w:p w14:paraId="490F1858" w14:textId="0E828CEB" w:rsidR="00FC0758" w:rsidRDefault="00FC0758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6325CCD2" w14:textId="6A70A9C7" w:rsidR="00FC0758" w:rsidRPr="00FC0758" w:rsidRDefault="00FC0758" w:rsidP="00543C5F">
            <w:pPr>
              <w:spacing w:before="120" w:after="120"/>
              <w:rPr>
                <w:lang w:val="ru-RU"/>
              </w:rPr>
            </w:pPr>
            <w:r w:rsidRPr="00FC0758">
              <w:t>GenerateExportOptions | Export</w:t>
            </w:r>
          </w:p>
        </w:tc>
      </w:tr>
      <w:tr w:rsidR="00FC0758" w14:paraId="3E0ED0E3" w14:textId="77777777" w:rsidTr="00543C5F">
        <w:trPr>
          <w:cantSplit/>
        </w:trPr>
        <w:tc>
          <w:tcPr>
            <w:tcW w:w="3116" w:type="dxa"/>
          </w:tcPr>
          <w:p w14:paraId="056F5955" w14:textId="69BD78F7" w:rsidR="00FC0758" w:rsidRPr="00543C5F" w:rsidRDefault="00FC0758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lastRenderedPageBreak/>
              <w:t>SourceConnectionString</w:t>
            </w:r>
          </w:p>
        </w:tc>
        <w:tc>
          <w:tcPr>
            <w:tcW w:w="1982" w:type="dxa"/>
          </w:tcPr>
          <w:p w14:paraId="1BC2CA74" w14:textId="52289F0F" w:rsidR="00FC0758" w:rsidRDefault="00FC0758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 подключения к БД источника данных</w:t>
            </w:r>
          </w:p>
        </w:tc>
        <w:tc>
          <w:tcPr>
            <w:tcW w:w="4252" w:type="dxa"/>
          </w:tcPr>
          <w:p w14:paraId="1ADD7CF0" w14:textId="77777777" w:rsidR="00FC0758" w:rsidRDefault="00FC0758" w:rsidP="00543C5F">
            <w:pPr>
              <w:spacing w:before="120" w:after="120"/>
              <w:rPr>
                <w:lang w:val="ru-RU"/>
              </w:rPr>
            </w:pPr>
          </w:p>
        </w:tc>
      </w:tr>
      <w:tr w:rsidR="00FC0758" w14:paraId="5FFC48A2" w14:textId="77777777" w:rsidTr="00543C5F">
        <w:trPr>
          <w:cantSplit/>
        </w:trPr>
        <w:tc>
          <w:tcPr>
            <w:tcW w:w="3116" w:type="dxa"/>
          </w:tcPr>
          <w:p w14:paraId="59707C2A" w14:textId="2E6ED159" w:rsidR="00FC0758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>DestinationConnectionString</w:t>
            </w:r>
          </w:p>
        </w:tc>
        <w:tc>
          <w:tcPr>
            <w:tcW w:w="1982" w:type="dxa"/>
          </w:tcPr>
          <w:p w14:paraId="4B584015" w14:textId="0C4DB3DD" w:rsidR="00FC0758" w:rsidRPr="00543C5F" w:rsidRDefault="00543C5F" w:rsidP="00543C5F">
            <w:pPr>
              <w:spacing w:before="120" w:after="120"/>
            </w:pPr>
            <w:r>
              <w:rPr>
                <w:lang w:val="ru-RU"/>
              </w:rPr>
              <w:t>строка подключения к БД приёмника</w:t>
            </w:r>
          </w:p>
        </w:tc>
        <w:tc>
          <w:tcPr>
            <w:tcW w:w="4252" w:type="dxa"/>
          </w:tcPr>
          <w:p w14:paraId="139F43E4" w14:textId="77777777" w:rsidR="00FC0758" w:rsidRDefault="00FC0758" w:rsidP="00543C5F">
            <w:pPr>
              <w:spacing w:before="120" w:after="120"/>
              <w:rPr>
                <w:lang w:val="ru-RU"/>
              </w:rPr>
            </w:pPr>
          </w:p>
        </w:tc>
      </w:tr>
      <w:tr w:rsidR="00FC0758" w14:paraId="458A2273" w14:textId="77777777" w:rsidTr="00543C5F">
        <w:trPr>
          <w:cantSplit/>
        </w:trPr>
        <w:tc>
          <w:tcPr>
            <w:tcW w:w="3116" w:type="dxa"/>
          </w:tcPr>
          <w:p w14:paraId="6C7B61A4" w14:textId="1FFC3CA6" w:rsidR="00FC0758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>Anonymizer</w:t>
            </w:r>
          </w:p>
        </w:tc>
        <w:tc>
          <w:tcPr>
            <w:tcW w:w="1982" w:type="dxa"/>
          </w:tcPr>
          <w:p w14:paraId="545DB4E8" w14:textId="16AA2D96" w:rsidR="00FC0758" w:rsidRDefault="00FC0758" w:rsidP="00543C5F">
            <w:pPr>
              <w:spacing w:before="120" w:after="120"/>
              <w:rPr>
                <w:lang w:val="ru-RU"/>
              </w:rPr>
            </w:pPr>
          </w:p>
        </w:tc>
        <w:tc>
          <w:tcPr>
            <w:tcW w:w="4252" w:type="dxa"/>
          </w:tcPr>
          <w:p w14:paraId="29F20A84" w14:textId="77777777" w:rsidR="00FC0758" w:rsidRDefault="00FC0758" w:rsidP="00543C5F">
            <w:pPr>
              <w:spacing w:before="120" w:after="120"/>
              <w:rPr>
                <w:lang w:val="ru-RU"/>
              </w:rPr>
            </w:pPr>
          </w:p>
        </w:tc>
      </w:tr>
      <w:tr w:rsidR="00543C5F" w14:paraId="68C5F539" w14:textId="77777777" w:rsidTr="00543C5F">
        <w:trPr>
          <w:cantSplit/>
        </w:trPr>
        <w:tc>
          <w:tcPr>
            <w:tcW w:w="3116" w:type="dxa"/>
          </w:tcPr>
          <w:p w14:paraId="5F586DF7" w14:textId="479E28DF" w:rsidR="00543C5F" w:rsidRPr="00543C5F" w:rsidRDefault="00543C5F" w:rsidP="00543C5F">
            <w:pPr>
              <w:spacing w:before="120" w:after="120"/>
              <w:rPr>
                <w:b/>
                <w:bCs/>
                <w:lang w:val="ru-RU"/>
              </w:rPr>
            </w:pPr>
            <w:r w:rsidRPr="00543C5F">
              <w:rPr>
                <w:b/>
                <w:bCs/>
                <w:lang w:val="ru-RU"/>
              </w:rPr>
              <w:t xml:space="preserve">   </w:t>
            </w:r>
            <w:r w:rsidRPr="00543C5F">
              <w:rPr>
                <w:b/>
                <w:bCs/>
              </w:rPr>
              <w:t>SubstitutionsFileName</w:t>
            </w:r>
          </w:p>
        </w:tc>
        <w:tc>
          <w:tcPr>
            <w:tcW w:w="1982" w:type="dxa"/>
          </w:tcPr>
          <w:p w14:paraId="5E7F94EA" w14:textId="1F4E5A36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торока</w:t>
            </w:r>
          </w:p>
        </w:tc>
        <w:tc>
          <w:tcPr>
            <w:tcW w:w="4252" w:type="dxa"/>
          </w:tcPr>
          <w:p w14:paraId="5F80BC55" w14:textId="07A584D4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путь к файлу подстановок (</w:t>
            </w:r>
            <w:r>
              <w:t>Finder)</w:t>
            </w:r>
          </w:p>
        </w:tc>
      </w:tr>
      <w:tr w:rsidR="00543C5F" w14:paraId="204A3B10" w14:textId="77777777" w:rsidTr="00543C5F">
        <w:trPr>
          <w:cantSplit/>
        </w:trPr>
        <w:tc>
          <w:tcPr>
            <w:tcW w:w="3116" w:type="dxa"/>
          </w:tcPr>
          <w:p w14:paraId="0D5D7E93" w14:textId="0EBDCE9D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  <w:lang w:val="ru-RU"/>
              </w:rPr>
              <w:t xml:space="preserve">  </w:t>
            </w:r>
            <w:r w:rsidRPr="00543C5F">
              <w:rPr>
                <w:b/>
                <w:bCs/>
              </w:rPr>
              <w:t>NamesXPath</w:t>
            </w:r>
          </w:p>
        </w:tc>
        <w:tc>
          <w:tcPr>
            <w:tcW w:w="1982" w:type="dxa"/>
          </w:tcPr>
          <w:p w14:paraId="56CD9256" w14:textId="04B2D940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2773CB47" w14:textId="7C755424" w:rsidR="00543C5F" w:rsidRPr="00543C5F" w:rsidRDefault="00543C5F" w:rsidP="00543C5F">
            <w:pPr>
              <w:spacing w:before="120" w:after="120"/>
            </w:pPr>
            <w:r>
              <w:t xml:space="preserve">XPath </w:t>
            </w:r>
            <w:r>
              <w:rPr>
                <w:lang w:val="ru-RU"/>
              </w:rPr>
              <w:t>к элементам потенциально содержащему имена сотрудников. Найденные имена в этих элементах будут заменены на идентификаторы из файла (</w:t>
            </w:r>
            <w:r>
              <w:t>substitutions.json)</w:t>
            </w:r>
          </w:p>
        </w:tc>
      </w:tr>
      <w:tr w:rsidR="00543C5F" w14:paraId="35069E83" w14:textId="77777777" w:rsidTr="00543C5F">
        <w:trPr>
          <w:cantSplit/>
        </w:trPr>
        <w:tc>
          <w:tcPr>
            <w:tcW w:w="3116" w:type="dxa"/>
          </w:tcPr>
          <w:p w14:paraId="3DF3B416" w14:textId="32D03392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  <w:lang w:val="ru-RU"/>
              </w:rPr>
              <w:t xml:space="preserve">  </w:t>
            </w:r>
            <w:r w:rsidRPr="00543C5F">
              <w:rPr>
                <w:b/>
                <w:bCs/>
              </w:rPr>
              <w:t>MaskXPath</w:t>
            </w:r>
          </w:p>
        </w:tc>
        <w:tc>
          <w:tcPr>
            <w:tcW w:w="1982" w:type="dxa"/>
          </w:tcPr>
          <w:p w14:paraId="495095E5" w14:textId="6B6A6278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33934D3B" w14:textId="7E23B331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t xml:space="preserve">XPath </w:t>
            </w:r>
            <w:r>
              <w:rPr>
                <w:lang w:val="ru-RU"/>
              </w:rPr>
              <w:t>к элементам потенциально содержащему конфиденциальную информацию (</w:t>
            </w:r>
            <w:r>
              <w:t xml:space="preserve">login, email, password </w:t>
            </w:r>
            <w:r>
              <w:rPr>
                <w:lang w:val="ru-RU"/>
              </w:rPr>
              <w:t>и т.п.)</w:t>
            </w:r>
            <w:r>
              <w:t xml:space="preserve">. </w:t>
            </w:r>
            <w:r>
              <w:rPr>
                <w:lang w:val="ru-RU"/>
              </w:rPr>
              <w:t>текст в таких элементах будет заменен на «*»</w:t>
            </w:r>
          </w:p>
        </w:tc>
      </w:tr>
      <w:tr w:rsidR="00543C5F" w14:paraId="7E84E981" w14:textId="77777777" w:rsidTr="00543C5F">
        <w:trPr>
          <w:cantSplit/>
        </w:trPr>
        <w:tc>
          <w:tcPr>
            <w:tcW w:w="3116" w:type="dxa"/>
          </w:tcPr>
          <w:p w14:paraId="2BC4671D" w14:textId="673A60EC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>Exports</w:t>
            </w:r>
          </w:p>
        </w:tc>
        <w:tc>
          <w:tcPr>
            <w:tcW w:w="1982" w:type="dxa"/>
          </w:tcPr>
          <w:p w14:paraId="28B490DD" w14:textId="4741975B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массив объектов</w:t>
            </w:r>
          </w:p>
        </w:tc>
        <w:tc>
          <w:tcPr>
            <w:tcW w:w="4252" w:type="dxa"/>
          </w:tcPr>
          <w:p w14:paraId="32263325" w14:textId="77777777" w:rsidR="00543C5F" w:rsidRDefault="00543C5F" w:rsidP="00543C5F">
            <w:pPr>
              <w:spacing w:before="120" w:after="120"/>
            </w:pPr>
          </w:p>
        </w:tc>
      </w:tr>
      <w:tr w:rsidR="00543C5F" w14:paraId="4BF176B7" w14:textId="77777777" w:rsidTr="00543C5F">
        <w:trPr>
          <w:cantSplit/>
        </w:trPr>
        <w:tc>
          <w:tcPr>
            <w:tcW w:w="3116" w:type="dxa"/>
          </w:tcPr>
          <w:p w14:paraId="4BFEFC9D" w14:textId="16826A09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  <w:lang w:val="ru-RU"/>
              </w:rPr>
              <w:t xml:space="preserve">   </w:t>
            </w:r>
            <w:r w:rsidRPr="00543C5F">
              <w:rPr>
                <w:b/>
                <w:bCs/>
              </w:rPr>
              <w:t>DestinationTable</w:t>
            </w:r>
          </w:p>
        </w:tc>
        <w:tc>
          <w:tcPr>
            <w:tcW w:w="1982" w:type="dxa"/>
          </w:tcPr>
          <w:p w14:paraId="102DEB87" w14:textId="5875E9E1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4CB16160" w14:textId="1FC16A48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имя таблицы приёмника данных</w:t>
            </w:r>
          </w:p>
        </w:tc>
      </w:tr>
      <w:tr w:rsidR="00543C5F" w14:paraId="79AFA756" w14:textId="77777777" w:rsidTr="00543C5F">
        <w:trPr>
          <w:cantSplit/>
        </w:trPr>
        <w:tc>
          <w:tcPr>
            <w:tcW w:w="3116" w:type="dxa"/>
          </w:tcPr>
          <w:p w14:paraId="09643854" w14:textId="1E14A146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SourceTable</w:t>
            </w:r>
          </w:p>
        </w:tc>
        <w:tc>
          <w:tcPr>
            <w:tcW w:w="1982" w:type="dxa"/>
          </w:tcPr>
          <w:p w14:paraId="64D1ACEE" w14:textId="23242EA3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5AE40C10" w14:textId="4FC9F0FF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имя таблицы источника данных.</w:t>
            </w:r>
          </w:p>
        </w:tc>
      </w:tr>
      <w:tr w:rsidR="00543C5F" w14:paraId="291C80D0" w14:textId="77777777" w:rsidTr="00543C5F">
        <w:trPr>
          <w:cantSplit/>
        </w:trPr>
        <w:tc>
          <w:tcPr>
            <w:tcW w:w="3116" w:type="dxa"/>
          </w:tcPr>
          <w:p w14:paraId="64B69D13" w14:textId="1B38413C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SourceQuery</w:t>
            </w:r>
          </w:p>
        </w:tc>
        <w:tc>
          <w:tcPr>
            <w:tcW w:w="1982" w:type="dxa"/>
          </w:tcPr>
          <w:p w14:paraId="4CB4CDB9" w14:textId="096274F6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4F451AA8" w14:textId="475665DB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t xml:space="preserve">SQL </w:t>
            </w:r>
            <w:r>
              <w:rPr>
                <w:lang w:val="ru-RU"/>
              </w:rPr>
              <w:t xml:space="preserve">запрос </w:t>
            </w:r>
            <w:r>
              <w:t xml:space="preserve">– </w:t>
            </w:r>
            <w:r>
              <w:rPr>
                <w:lang w:val="ru-RU"/>
              </w:rPr>
              <w:t>источник данных, если не указана таблица источник</w:t>
            </w:r>
          </w:p>
        </w:tc>
      </w:tr>
      <w:tr w:rsidR="00543C5F" w14:paraId="572DE2DE" w14:textId="77777777" w:rsidTr="00543C5F">
        <w:trPr>
          <w:cantSplit/>
        </w:trPr>
        <w:tc>
          <w:tcPr>
            <w:tcW w:w="3116" w:type="dxa"/>
          </w:tcPr>
          <w:p w14:paraId="458686FA" w14:textId="07CCD866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SourceQueryKey</w:t>
            </w:r>
          </w:p>
        </w:tc>
        <w:tc>
          <w:tcPr>
            <w:tcW w:w="1982" w:type="dxa"/>
          </w:tcPr>
          <w:p w14:paraId="54F4EF5F" w14:textId="2AA78C84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массив строк</w:t>
            </w:r>
          </w:p>
        </w:tc>
        <w:tc>
          <w:tcPr>
            <w:tcW w:w="4252" w:type="dxa"/>
          </w:tcPr>
          <w:p w14:paraId="53900573" w14:textId="5759672C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ключи для сортировки и пакетирования данных из запроса</w:t>
            </w:r>
          </w:p>
        </w:tc>
      </w:tr>
      <w:tr w:rsidR="00543C5F" w14:paraId="6BED173D" w14:textId="77777777" w:rsidTr="00543C5F">
        <w:trPr>
          <w:cantSplit/>
        </w:trPr>
        <w:tc>
          <w:tcPr>
            <w:tcW w:w="3116" w:type="dxa"/>
          </w:tcPr>
          <w:p w14:paraId="1665538A" w14:textId="59FB897C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BatchSize</w:t>
            </w:r>
          </w:p>
        </w:tc>
        <w:tc>
          <w:tcPr>
            <w:tcW w:w="1982" w:type="dxa"/>
          </w:tcPr>
          <w:p w14:paraId="48429665" w14:textId="3D64B9E3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4252" w:type="dxa"/>
          </w:tcPr>
          <w:p w14:paraId="3D90828C" w14:textId="121707E3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размер пакета</w:t>
            </w:r>
          </w:p>
        </w:tc>
      </w:tr>
      <w:tr w:rsidR="00543C5F" w14:paraId="5E3B3D9E" w14:textId="77777777" w:rsidTr="00543C5F">
        <w:trPr>
          <w:cantSplit/>
        </w:trPr>
        <w:tc>
          <w:tcPr>
            <w:tcW w:w="3116" w:type="dxa"/>
          </w:tcPr>
          <w:p w14:paraId="1AC07B92" w14:textId="69148233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Columns</w:t>
            </w:r>
          </w:p>
        </w:tc>
        <w:tc>
          <w:tcPr>
            <w:tcW w:w="1982" w:type="dxa"/>
          </w:tcPr>
          <w:p w14:paraId="65515ABE" w14:textId="2A5593C4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массив объектов</w:t>
            </w:r>
          </w:p>
        </w:tc>
        <w:tc>
          <w:tcPr>
            <w:tcW w:w="4252" w:type="dxa"/>
          </w:tcPr>
          <w:p w14:paraId="7D130888" w14:textId="1ABEEA2E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мэппинг полей источника и приёмника</w:t>
            </w:r>
          </w:p>
        </w:tc>
      </w:tr>
      <w:tr w:rsidR="00543C5F" w14:paraId="699EE038" w14:textId="77777777" w:rsidTr="00543C5F">
        <w:trPr>
          <w:cantSplit/>
        </w:trPr>
        <w:tc>
          <w:tcPr>
            <w:tcW w:w="3116" w:type="dxa"/>
          </w:tcPr>
          <w:p w14:paraId="21B7CC1D" w14:textId="3DA9D97C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  <w:lang w:val="ru-RU"/>
              </w:rPr>
              <w:t xml:space="preserve">      </w:t>
            </w:r>
            <w:r w:rsidRPr="00543C5F">
              <w:rPr>
                <w:b/>
                <w:bCs/>
              </w:rPr>
              <w:t>Destination</w:t>
            </w:r>
          </w:p>
        </w:tc>
        <w:tc>
          <w:tcPr>
            <w:tcW w:w="1982" w:type="dxa"/>
          </w:tcPr>
          <w:p w14:paraId="231E35BA" w14:textId="47211E9A" w:rsidR="00543C5F" w:rsidRP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58FFD518" w14:textId="312617CD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Поле в таблице приёмнике</w:t>
            </w:r>
          </w:p>
        </w:tc>
      </w:tr>
      <w:tr w:rsidR="00543C5F" w14:paraId="43ABBCE1" w14:textId="77777777" w:rsidTr="00543C5F">
        <w:trPr>
          <w:cantSplit/>
        </w:trPr>
        <w:tc>
          <w:tcPr>
            <w:tcW w:w="3116" w:type="dxa"/>
          </w:tcPr>
          <w:p w14:paraId="0F0CB0C5" w14:textId="56ED904F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   Source</w:t>
            </w:r>
          </w:p>
        </w:tc>
        <w:tc>
          <w:tcPr>
            <w:tcW w:w="1982" w:type="dxa"/>
          </w:tcPr>
          <w:p w14:paraId="74E622AC" w14:textId="3CDABC30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3BCD07A9" w14:textId="15774700" w:rsidR="00543C5F" w:rsidRPr="00D62AD7" w:rsidRDefault="00D62AD7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Поле в таблице</w:t>
            </w:r>
            <w:r>
              <w:t>|</w:t>
            </w:r>
            <w:r>
              <w:rPr>
                <w:lang w:val="ru-RU"/>
              </w:rPr>
              <w:t>запросе источнике</w:t>
            </w:r>
          </w:p>
        </w:tc>
      </w:tr>
      <w:tr w:rsidR="00543C5F" w14:paraId="571A048F" w14:textId="77777777" w:rsidTr="00543C5F">
        <w:trPr>
          <w:cantSplit/>
        </w:trPr>
        <w:tc>
          <w:tcPr>
            <w:tcW w:w="3116" w:type="dxa"/>
          </w:tcPr>
          <w:p w14:paraId="2E79DF74" w14:textId="1F46C37B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lastRenderedPageBreak/>
              <w:t xml:space="preserve">      Action</w:t>
            </w:r>
          </w:p>
        </w:tc>
        <w:tc>
          <w:tcPr>
            <w:tcW w:w="1982" w:type="dxa"/>
          </w:tcPr>
          <w:p w14:paraId="147E2535" w14:textId="4807C1F4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перечисление</w:t>
            </w:r>
          </w:p>
        </w:tc>
        <w:tc>
          <w:tcPr>
            <w:tcW w:w="4252" w:type="dxa"/>
          </w:tcPr>
          <w:p w14:paraId="0AF3523F" w14:textId="166E6708" w:rsidR="00D62AD7" w:rsidRPr="00D62AD7" w:rsidRDefault="00D62AD7" w:rsidP="00D62AD7">
            <w:pPr>
              <w:spacing w:before="120" w:after="120"/>
            </w:pPr>
            <w:r w:rsidRPr="00D62AD7">
              <w:t>Skip</w:t>
            </w:r>
            <w:r>
              <w:rPr>
                <w:lang w:val="ru-RU"/>
              </w:rPr>
              <w:t xml:space="preserve"> – пропускает поле</w:t>
            </w:r>
            <w:r w:rsidRPr="00D62AD7">
              <w:t>,</w:t>
            </w:r>
          </w:p>
          <w:p w14:paraId="33A6E021" w14:textId="1DBB1CB3" w:rsidR="00D62AD7" w:rsidRPr="00D62AD7" w:rsidRDefault="00D62AD7" w:rsidP="00D62AD7">
            <w:pPr>
              <w:spacing w:before="120" w:after="120"/>
            </w:pPr>
            <w:r w:rsidRPr="00D62AD7">
              <w:t>Copy</w:t>
            </w:r>
            <w:r>
              <w:t xml:space="preserve"> – </w:t>
            </w:r>
            <w:r>
              <w:rPr>
                <w:lang w:val="ru-RU"/>
              </w:rPr>
              <w:t>копирует значение из источника в приёмник</w:t>
            </w:r>
            <w:r w:rsidRPr="00D62AD7">
              <w:t>,</w:t>
            </w:r>
          </w:p>
          <w:p w14:paraId="23F11008" w14:textId="6D299F69" w:rsidR="00D62AD7" w:rsidRPr="00D62AD7" w:rsidRDefault="00D62AD7" w:rsidP="00D62AD7">
            <w:pPr>
              <w:spacing w:before="120" w:after="120"/>
            </w:pPr>
            <w:r w:rsidRPr="00D62AD7">
              <w:t>Convert</w:t>
            </w:r>
            <w:r>
              <w:rPr>
                <w:lang w:val="ru-RU"/>
              </w:rPr>
              <w:t xml:space="preserve"> – использует специальный конвертер (реализовано </w:t>
            </w:r>
            <w:r w:rsidRPr="00D62AD7">
              <w:t>XmlAnonymizerService</w:t>
            </w:r>
            <w:r>
              <w:rPr>
                <w:lang w:val="ru-RU"/>
              </w:rPr>
              <w:t xml:space="preserve"> и </w:t>
            </w:r>
            <w:r>
              <w:t>Text</w:t>
            </w:r>
            <w:r w:rsidRPr="00D62AD7">
              <w:t>AnonymizerService</w:t>
            </w:r>
            <w:r>
              <w:t>)</w:t>
            </w:r>
          </w:p>
          <w:p w14:paraId="7200C5AA" w14:textId="76EE06E6" w:rsidR="00D62AD7" w:rsidRPr="00D62AD7" w:rsidRDefault="00D62AD7" w:rsidP="00D62AD7">
            <w:pPr>
              <w:spacing w:before="120" w:after="120"/>
            </w:pPr>
            <w:r w:rsidRPr="00D62AD7">
              <w:t>TypeConvert</w:t>
            </w:r>
            <w:r>
              <w:t xml:space="preserve"> – </w:t>
            </w:r>
            <w:r>
              <w:rPr>
                <w:lang w:val="ru-RU"/>
              </w:rPr>
              <w:t>производит конвертацию типа данных</w:t>
            </w:r>
            <w:r w:rsidRPr="00D62AD7">
              <w:t>,</w:t>
            </w:r>
          </w:p>
          <w:p w14:paraId="22AC04E5" w14:textId="43710D63" w:rsidR="00D62AD7" w:rsidRPr="00D62AD7" w:rsidRDefault="00D62AD7" w:rsidP="00D62AD7">
            <w:pPr>
              <w:spacing w:before="120" w:after="120"/>
            </w:pPr>
            <w:r w:rsidRPr="00D62AD7">
              <w:t>SetNull</w:t>
            </w:r>
            <w:r>
              <w:rPr>
                <w:lang w:val="ru-RU"/>
              </w:rPr>
              <w:t xml:space="preserve"> – устанавливает значение </w:t>
            </w:r>
            <w:r>
              <w:t>NULL</w:t>
            </w:r>
            <w:r w:rsidRPr="00D62AD7">
              <w:t>,</w:t>
            </w:r>
          </w:p>
          <w:p w14:paraId="46662158" w14:textId="24729DB2" w:rsidR="00543C5F" w:rsidRPr="00D62AD7" w:rsidRDefault="00D62AD7" w:rsidP="00D62AD7">
            <w:pPr>
              <w:spacing w:before="120" w:after="120"/>
              <w:rPr>
                <w:lang w:val="ru-RU"/>
              </w:rPr>
            </w:pPr>
            <w:r w:rsidRPr="00D62AD7">
              <w:t>MaskWithChar</w:t>
            </w:r>
            <w:r>
              <w:rPr>
                <w:lang w:val="ru-RU"/>
              </w:rPr>
              <w:t xml:space="preserve"> – маскирует поле «*»</w:t>
            </w:r>
          </w:p>
        </w:tc>
      </w:tr>
      <w:tr w:rsidR="00543C5F" w14:paraId="17D7E9A0" w14:textId="77777777" w:rsidTr="00543C5F">
        <w:trPr>
          <w:cantSplit/>
        </w:trPr>
        <w:tc>
          <w:tcPr>
            <w:tcW w:w="3116" w:type="dxa"/>
          </w:tcPr>
          <w:p w14:paraId="1C2DC8C1" w14:textId="33525CF0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  <w:r w:rsidRPr="00543C5F">
              <w:rPr>
                <w:b/>
                <w:bCs/>
              </w:rPr>
              <w:t xml:space="preserve">      Parameter</w:t>
            </w:r>
          </w:p>
        </w:tc>
        <w:tc>
          <w:tcPr>
            <w:tcW w:w="1982" w:type="dxa"/>
          </w:tcPr>
          <w:p w14:paraId="237B4FAF" w14:textId="3B2B78C5" w:rsidR="00543C5F" w:rsidRDefault="00543C5F" w:rsidP="00543C5F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4252" w:type="dxa"/>
          </w:tcPr>
          <w:p w14:paraId="4CACAF8F" w14:textId="480EAF39" w:rsidR="00543C5F" w:rsidRPr="00D62AD7" w:rsidRDefault="00D62AD7" w:rsidP="00543C5F">
            <w:pPr>
              <w:spacing w:before="120" w:after="120"/>
            </w:pPr>
            <w:r>
              <w:rPr>
                <w:lang w:val="ru-RU"/>
              </w:rPr>
              <w:t xml:space="preserve">Параметр зависит от </w:t>
            </w:r>
            <w:r>
              <w:t>Action</w:t>
            </w:r>
          </w:p>
        </w:tc>
      </w:tr>
      <w:tr w:rsidR="00543C5F" w14:paraId="3F3BC6AC" w14:textId="77777777" w:rsidTr="00543C5F">
        <w:trPr>
          <w:cantSplit/>
        </w:trPr>
        <w:tc>
          <w:tcPr>
            <w:tcW w:w="3116" w:type="dxa"/>
          </w:tcPr>
          <w:p w14:paraId="512A6F73" w14:textId="77777777" w:rsidR="00543C5F" w:rsidRPr="00543C5F" w:rsidRDefault="00543C5F" w:rsidP="00543C5F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982" w:type="dxa"/>
          </w:tcPr>
          <w:p w14:paraId="64025DD3" w14:textId="77777777" w:rsidR="00543C5F" w:rsidRDefault="00543C5F" w:rsidP="00543C5F">
            <w:pPr>
              <w:spacing w:before="120" w:after="120"/>
              <w:rPr>
                <w:lang w:val="ru-RU"/>
              </w:rPr>
            </w:pPr>
          </w:p>
        </w:tc>
        <w:tc>
          <w:tcPr>
            <w:tcW w:w="4252" w:type="dxa"/>
          </w:tcPr>
          <w:p w14:paraId="49D659B1" w14:textId="77777777" w:rsidR="00543C5F" w:rsidRDefault="00543C5F" w:rsidP="00543C5F">
            <w:pPr>
              <w:spacing w:before="120" w:after="120"/>
            </w:pPr>
          </w:p>
        </w:tc>
      </w:tr>
    </w:tbl>
    <w:p w14:paraId="49634E48" w14:textId="520B0E4A" w:rsidR="00FC0758" w:rsidRDefault="00FC0758" w:rsidP="00FC0758"/>
    <w:p w14:paraId="18AABC5B" w14:textId="6551635D" w:rsidR="00D62AD7" w:rsidRDefault="00D62AD7" w:rsidP="00D62AD7">
      <w:pPr>
        <w:keepNext/>
      </w:pPr>
      <w:r>
        <w:rPr>
          <w:lang w:val="ru-RU"/>
        </w:rPr>
        <w:t xml:space="preserve">Пример результата работы </w:t>
      </w:r>
      <w:r>
        <w:t>SqlServerToPostgress</w:t>
      </w:r>
    </w:p>
    <w:p w14:paraId="6F2C1ADA" w14:textId="035E612F" w:rsidR="00D62AD7" w:rsidRDefault="00D62AD7" w:rsidP="00FC0758">
      <w:pPr>
        <w:rPr>
          <w:lang w:val="ru-RU"/>
        </w:rPr>
      </w:pPr>
      <w:r w:rsidRPr="00D62AD7">
        <w:rPr>
          <w:noProof/>
        </w:rPr>
        <w:drawing>
          <wp:inline distT="0" distB="0" distL="0" distR="0" wp14:anchorId="56C30271" wp14:editId="58F91718">
            <wp:extent cx="5943600" cy="3487420"/>
            <wp:effectExtent l="0" t="0" r="0" b="0"/>
            <wp:docPr id="24624545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5459" name="Picture 1" descr="A computer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455" w14:textId="5EC10845" w:rsidR="00802763" w:rsidRDefault="00802763" w:rsidP="00FC0758">
      <w:pPr>
        <w:rPr>
          <w:lang w:val="ru-RU"/>
        </w:rPr>
      </w:pPr>
      <w:r>
        <w:rPr>
          <w:lang w:val="ru-RU"/>
        </w:rPr>
        <w:t xml:space="preserve">Для обезличивания полей, содержащих </w:t>
      </w:r>
      <w:r>
        <w:t>XML</w:t>
      </w:r>
      <w:r>
        <w:rPr>
          <w:lang w:val="ru-RU"/>
        </w:rPr>
        <w:t xml:space="preserve">, используется конвертер: </w:t>
      </w:r>
    </w:p>
    <w:p w14:paraId="5DA50B6A" w14:textId="1FA393DF" w:rsidR="00802763" w:rsidRDefault="00802763" w:rsidP="00FC0758">
      <w:pPr>
        <w:rPr>
          <w:rFonts w:ascii="Cascadia Code" w:hAnsi="Cascadia Code"/>
          <w:lang w:val="ru-RU"/>
        </w:rPr>
      </w:pPr>
      <w:r w:rsidRPr="00802763">
        <w:rPr>
          <w:rFonts w:ascii="Cascadia Code" w:hAnsi="Cascadia Code"/>
        </w:rPr>
        <w:t>"SqlServerToPostgres.XmlAnonymizerService, SqlServerToPostgres, Version=1.0.0.0, Culture=neutral, PublicKeyToken=null"</w:t>
      </w:r>
    </w:p>
    <w:p w14:paraId="4694B289" w14:textId="0430AFA2" w:rsidR="00802763" w:rsidRDefault="00802763" w:rsidP="00802763">
      <w:pPr>
        <w:rPr>
          <w:lang w:val="ru-RU"/>
        </w:rPr>
      </w:pPr>
      <w:r>
        <w:rPr>
          <w:lang w:val="ru-RU"/>
        </w:rPr>
        <w:lastRenderedPageBreak/>
        <w:t>Для обезличивания скалярных полей используется конвертер:</w:t>
      </w:r>
    </w:p>
    <w:p w14:paraId="434127F8" w14:textId="6BEA06D8" w:rsidR="00802763" w:rsidRDefault="00802763" w:rsidP="00802763">
      <w:pPr>
        <w:rPr>
          <w:rFonts w:ascii="Cascadia Code" w:hAnsi="Cascadia Code"/>
          <w:lang w:val="ru-RU"/>
        </w:rPr>
      </w:pPr>
      <w:r w:rsidRPr="00802763">
        <w:rPr>
          <w:rFonts w:ascii="Cascadia Code" w:hAnsi="Cascadia Code"/>
        </w:rPr>
        <w:t>"SqlServerToPostgres.TextAnonymizerService, SqlServerToPostgres, Version=1.0.0.0, Culture=neutral, PublicKeyToken=null"</w:t>
      </w:r>
    </w:p>
    <w:p w14:paraId="04D44E41" w14:textId="3DD2F623" w:rsidR="00802763" w:rsidRDefault="00802763" w:rsidP="00802763">
      <w:pPr>
        <w:rPr>
          <w:lang w:val="ru-RU"/>
        </w:rPr>
      </w:pPr>
      <w:r w:rsidRPr="00802763">
        <w:rPr>
          <w:noProof/>
          <w:lang w:val="ru-RU"/>
        </w:rPr>
        <w:drawing>
          <wp:inline distT="0" distB="0" distL="0" distR="0" wp14:anchorId="61396013" wp14:editId="4B93006C">
            <wp:extent cx="5943600" cy="3848100"/>
            <wp:effectExtent l="0" t="0" r="0" b="0"/>
            <wp:docPr id="12928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52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EB7F" w14:textId="774BF49E" w:rsidR="00802763" w:rsidRDefault="00802763" w:rsidP="00802763">
      <w:r>
        <w:rPr>
          <w:lang w:val="ru-RU"/>
        </w:rPr>
        <w:t xml:space="preserve">Если обезличивание не требует, в настройках </w:t>
      </w:r>
      <w:r>
        <w:t xml:space="preserve">Action = “Convert” </w:t>
      </w:r>
      <w:r>
        <w:rPr>
          <w:lang w:val="ru-RU"/>
        </w:rPr>
        <w:t xml:space="preserve">следует заменить на </w:t>
      </w:r>
      <w:r>
        <w:t>Action = “Copy”</w:t>
      </w:r>
    </w:p>
    <w:p w14:paraId="325B9929" w14:textId="77777777" w:rsidR="00802763" w:rsidRPr="00802763" w:rsidRDefault="00802763" w:rsidP="00802763"/>
    <w:sectPr w:rsidR="00802763" w:rsidRPr="00802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DD7"/>
    <w:multiLevelType w:val="hybridMultilevel"/>
    <w:tmpl w:val="B056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00230"/>
    <w:multiLevelType w:val="hybridMultilevel"/>
    <w:tmpl w:val="4A422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2BD9"/>
    <w:multiLevelType w:val="hybridMultilevel"/>
    <w:tmpl w:val="DB3E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81963"/>
    <w:multiLevelType w:val="hybridMultilevel"/>
    <w:tmpl w:val="46B2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5025">
    <w:abstractNumId w:val="3"/>
  </w:num>
  <w:num w:numId="2" w16cid:durableId="31734963">
    <w:abstractNumId w:val="0"/>
  </w:num>
  <w:num w:numId="3" w16cid:durableId="473134598">
    <w:abstractNumId w:val="1"/>
  </w:num>
  <w:num w:numId="4" w16cid:durableId="174818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EB"/>
    <w:rsid w:val="000778EB"/>
    <w:rsid w:val="00543C5F"/>
    <w:rsid w:val="00764753"/>
    <w:rsid w:val="00802763"/>
    <w:rsid w:val="0081126A"/>
    <w:rsid w:val="00A27C63"/>
    <w:rsid w:val="00B50D15"/>
    <w:rsid w:val="00D62AD7"/>
    <w:rsid w:val="00E175F5"/>
    <w:rsid w:val="00EE6798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72EA"/>
  <w15:chartTrackingRefBased/>
  <w15:docId w15:val="{D489FE49-95C2-4C23-B228-FA469F10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8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0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Kolchev</dc:creator>
  <cp:keywords/>
  <dc:description/>
  <cp:lastModifiedBy>Dmitry Kolchev</cp:lastModifiedBy>
  <cp:revision>2</cp:revision>
  <dcterms:created xsi:type="dcterms:W3CDTF">2024-09-09T09:02:00Z</dcterms:created>
  <dcterms:modified xsi:type="dcterms:W3CDTF">2024-09-09T10:44:00Z</dcterms:modified>
</cp:coreProperties>
</file>