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3.2 边界条件</w:t>
      </w:r>
      <w:bookmarkStart w:id="0" w:name="_GoBack"/>
      <w:bookmarkEnd w:id="0"/>
    </w:p>
    <w:p>
      <w:pPr>
        <w:ind w:firstLine="420" w:firstLineChars="0"/>
        <w:jc w:val="left"/>
      </w:pPr>
      <w:r>
        <w:rPr>
          <w:rFonts w:hint="eastAsia"/>
        </w:rPr>
        <w:t>如果虚拟粒子的起点在流体内部，则进行插值是没有问题的。 但是，如果估计的起点恰好在流体边界之外会发生什么，该怎么办？ 这可能是因为流体从域的外部流入（粒子是“新”流体），也可能是由于数值误差（粒子的真实轨迹实际上停留在流体内部，但是我们的前向Euler或Runge） -库塔（Kutta）步骤引入了将我们带到外面的错误）。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BE"/>
    <w:rsid w:val="001C1BBE"/>
    <w:rsid w:val="005F6739"/>
    <w:rsid w:val="00C408EF"/>
    <w:rsid w:val="1B37493A"/>
    <w:rsid w:val="42C56303"/>
    <w:rsid w:val="51123C53"/>
    <w:rsid w:val="6EB5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2019-12-09T14:08:16Z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