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74073B"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74073B"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74073B"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74073B"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74073B"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74073B"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74073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74073B"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74073B"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74073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74073B"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74073B"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74073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74073B"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74073B"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74073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74073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74073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74073B"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74073B"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74073B"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74073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74073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74073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74073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74073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74073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74073B"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74073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74073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74073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74073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74073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74073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74073B"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74073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74073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74073B"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74073B"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74073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74073B"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74073B"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74073B"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74073B"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74073B"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74073B"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74073B"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74073B"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74073B"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74073B"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74073B"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74073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74073B"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74073B"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74073B"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74073B"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74073B"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74073B"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74073B"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74073B"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74073B"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74073B"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74073B"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74073B"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74073B"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74073B"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74073B"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74073B"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74073B"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74073B"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74073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m:t>
        </m:r>
        <m:r>
          <w:rPr>
            <w:rFonts w:ascii="Cambria Math" w:eastAsia="宋体" w:hAnsi="Cambria Math"/>
            <w:sz w:val="20"/>
            <w:szCs w:val="20"/>
          </w:rPr>
          <m:t>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F40E60"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7139E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8C0272"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hint="eastAsia"/>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F36042"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n=1,2,3,</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m:t>
        </m:r>
        <m:r>
          <w:rPr>
            <w:rFonts w:ascii="Cambria Math" w:eastAsia="宋体" w:hAnsi="Cambria Math"/>
            <w:sz w:val="20"/>
            <w:szCs w:val="20"/>
          </w:rPr>
          <m:t>/</m:t>
        </m:r>
        <m:r>
          <w:rPr>
            <w:rFonts w:ascii="Cambria Math" w:eastAsia="宋体" w:hAnsi="Cambria Math"/>
            <w:sz w:val="20"/>
            <w:szCs w:val="20"/>
          </w:rPr>
          <m:t>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hint="eastAsia"/>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ϕ=m2π,              m=0,1,2,</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6E6A9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=0,1,2,</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π,              m=0,1,2,</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6E6A91"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=0.5,1.5,2.5,</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hint="eastAsia"/>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n=1,2,3,</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hint="eastAsia"/>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m:t>
              </m:r>
              <m:r>
                <w:rPr>
                  <w:rFonts w:ascii="Cambria Math" w:eastAsia="宋体" w:hAnsi="Cambria Math"/>
                  <w:sz w:val="20"/>
                  <w:szCs w:val="20"/>
                </w:rPr>
                <m:t>L</m:t>
              </m:r>
            </m:den>
          </m:f>
          <m:r>
            <w:rPr>
              <w:rFonts w:ascii="Cambria Math" w:eastAsia="宋体" w:hAnsi="Cambria Math"/>
              <w:sz w:val="20"/>
              <w:szCs w:val="20"/>
            </w:rPr>
            <m:t>,             n=1,</m:t>
          </m:r>
          <m:r>
            <w:rPr>
              <w:rFonts w:ascii="Cambria Math" w:eastAsia="宋体" w:hAnsi="Cambria Math"/>
              <w:sz w:val="20"/>
              <w:szCs w:val="20"/>
            </w:rPr>
            <m:t>3</m:t>
          </m:r>
          <m:r>
            <w:rPr>
              <w:rFonts w:ascii="Cambria Math" w:eastAsia="宋体" w:hAnsi="Cambria Math"/>
              <w:sz w:val="20"/>
              <w:szCs w:val="20"/>
            </w:rPr>
            <m:t>,</m:t>
          </m:r>
          <m:r>
            <w:rPr>
              <w:rFonts w:ascii="Cambria Math" w:eastAsia="宋体" w:hAnsi="Cambria Math"/>
              <w:sz w:val="20"/>
              <w:szCs w:val="20"/>
            </w:rPr>
            <m:t>5</m:t>
          </m:r>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r>
                <w:rPr>
                  <w:rFonts w:ascii="Cambria Math" w:eastAsia="宋体" w:hAnsi="Cambria Math"/>
                  <w:sz w:val="20"/>
                  <w:szCs w:val="20"/>
                </w:rPr>
                <m:t>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91692F"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91692F"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hint="eastAsia"/>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Pr>
          <w:rFonts w:ascii="宋体" w:eastAsia="宋体" w:hAnsi="宋体" w:hint="eastAsia"/>
          <w:sz w:val="20"/>
          <w:szCs w:val="20"/>
        </w:rPr>
        <w:t>.</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067EC1" w:rsidP="00920D72">
      <w:pPr>
        <w:jc w:val="left"/>
        <w:rPr>
          <w:rFonts w:ascii="宋体" w:eastAsia="宋体" w:hAnsi="宋体" w:hint="eastAsia"/>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w:bookmarkStart w:id="2" w:name="_GoBack"/>
          <w:bookmarkEnd w:id="2"/>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hint="eastAsia"/>
          <w:sz w:val="20"/>
          <w:szCs w:val="20"/>
        </w:rPr>
      </w:pPr>
    </w:p>
    <w:p w14:paraId="781A2CA4" w14:textId="77777777" w:rsidR="00C62FC9" w:rsidRPr="00033647" w:rsidRDefault="00C62FC9" w:rsidP="000808FA">
      <w:pPr>
        <w:jc w:val="left"/>
        <w:rPr>
          <w:rFonts w:ascii="宋体" w:eastAsia="宋体" w:hAnsi="宋体" w:hint="eastAsia"/>
          <w:sz w:val="20"/>
          <w:szCs w:val="20"/>
        </w:rPr>
      </w:pPr>
    </w:p>
    <w:p w14:paraId="7A5BD6BA" w14:textId="77777777" w:rsidR="0074073B" w:rsidRPr="0074073B" w:rsidRDefault="0074073B" w:rsidP="000808FA">
      <w:pPr>
        <w:jc w:val="left"/>
        <w:rPr>
          <w:rFonts w:ascii="宋体" w:eastAsia="宋体" w:hAnsi="宋体"/>
          <w:sz w:val="20"/>
          <w:szCs w:val="20"/>
        </w:rPr>
      </w:pPr>
    </w:p>
    <w:sectPr w:rsidR="0074073B" w:rsidRPr="00740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DDD8E" w14:textId="77777777" w:rsidR="0016152A" w:rsidRDefault="0016152A" w:rsidP="00F72B25">
      <w:r>
        <w:separator/>
      </w:r>
    </w:p>
  </w:endnote>
  <w:endnote w:type="continuationSeparator" w:id="0">
    <w:p w14:paraId="2B875961" w14:textId="77777777" w:rsidR="0016152A" w:rsidRDefault="0016152A"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96B1B" w14:textId="77777777" w:rsidR="0016152A" w:rsidRDefault="0016152A" w:rsidP="00F72B25">
      <w:r>
        <w:separator/>
      </w:r>
    </w:p>
  </w:footnote>
  <w:footnote w:type="continuationSeparator" w:id="0">
    <w:p w14:paraId="649D138E" w14:textId="77777777" w:rsidR="0016152A" w:rsidRDefault="0016152A"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3B9F"/>
    <w:rsid w:val="00033647"/>
    <w:rsid w:val="00067EC1"/>
    <w:rsid w:val="000758A3"/>
    <w:rsid w:val="000808FA"/>
    <w:rsid w:val="00084874"/>
    <w:rsid w:val="0009138F"/>
    <w:rsid w:val="000B294C"/>
    <w:rsid w:val="000B2960"/>
    <w:rsid w:val="000E1454"/>
    <w:rsid w:val="000E79D1"/>
    <w:rsid w:val="000F0D35"/>
    <w:rsid w:val="00101669"/>
    <w:rsid w:val="00102651"/>
    <w:rsid w:val="00113995"/>
    <w:rsid w:val="001248C7"/>
    <w:rsid w:val="00137576"/>
    <w:rsid w:val="00137DED"/>
    <w:rsid w:val="001435F8"/>
    <w:rsid w:val="00152679"/>
    <w:rsid w:val="00154E20"/>
    <w:rsid w:val="00157B54"/>
    <w:rsid w:val="0016152A"/>
    <w:rsid w:val="001634CB"/>
    <w:rsid w:val="00166165"/>
    <w:rsid w:val="00176850"/>
    <w:rsid w:val="00183473"/>
    <w:rsid w:val="00192177"/>
    <w:rsid w:val="001A01B7"/>
    <w:rsid w:val="001B52B3"/>
    <w:rsid w:val="001C2351"/>
    <w:rsid w:val="001D48CB"/>
    <w:rsid w:val="001D7BBA"/>
    <w:rsid w:val="001E2F8F"/>
    <w:rsid w:val="001E321C"/>
    <w:rsid w:val="001E58EE"/>
    <w:rsid w:val="001F23D3"/>
    <w:rsid w:val="001F6CCC"/>
    <w:rsid w:val="001F75CF"/>
    <w:rsid w:val="00202C68"/>
    <w:rsid w:val="00220675"/>
    <w:rsid w:val="00247E52"/>
    <w:rsid w:val="002500D9"/>
    <w:rsid w:val="00261989"/>
    <w:rsid w:val="00287AFA"/>
    <w:rsid w:val="002C478B"/>
    <w:rsid w:val="002C49DC"/>
    <w:rsid w:val="002D0DA2"/>
    <w:rsid w:val="002D4D14"/>
    <w:rsid w:val="002D56CA"/>
    <w:rsid w:val="002D5F73"/>
    <w:rsid w:val="002E1475"/>
    <w:rsid w:val="002E4DED"/>
    <w:rsid w:val="002F03B6"/>
    <w:rsid w:val="0030736D"/>
    <w:rsid w:val="00312527"/>
    <w:rsid w:val="003129E7"/>
    <w:rsid w:val="00315692"/>
    <w:rsid w:val="003274A0"/>
    <w:rsid w:val="00334F2B"/>
    <w:rsid w:val="00336B7E"/>
    <w:rsid w:val="0034420F"/>
    <w:rsid w:val="0037174E"/>
    <w:rsid w:val="003759D1"/>
    <w:rsid w:val="003817CC"/>
    <w:rsid w:val="00381AB4"/>
    <w:rsid w:val="003977F6"/>
    <w:rsid w:val="003A18AD"/>
    <w:rsid w:val="003B6543"/>
    <w:rsid w:val="003C699E"/>
    <w:rsid w:val="003E5C22"/>
    <w:rsid w:val="003F648D"/>
    <w:rsid w:val="004300B7"/>
    <w:rsid w:val="00452C16"/>
    <w:rsid w:val="00466673"/>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500B52"/>
    <w:rsid w:val="00503305"/>
    <w:rsid w:val="0050795A"/>
    <w:rsid w:val="00510E12"/>
    <w:rsid w:val="005218F0"/>
    <w:rsid w:val="00532081"/>
    <w:rsid w:val="00534D7E"/>
    <w:rsid w:val="0054559B"/>
    <w:rsid w:val="00545A5A"/>
    <w:rsid w:val="00552B85"/>
    <w:rsid w:val="00562723"/>
    <w:rsid w:val="005629FE"/>
    <w:rsid w:val="00562E7C"/>
    <w:rsid w:val="005730AC"/>
    <w:rsid w:val="00592868"/>
    <w:rsid w:val="00592885"/>
    <w:rsid w:val="0059466B"/>
    <w:rsid w:val="005A0113"/>
    <w:rsid w:val="005A7063"/>
    <w:rsid w:val="005B62EE"/>
    <w:rsid w:val="005D5354"/>
    <w:rsid w:val="005E2390"/>
    <w:rsid w:val="005E2C87"/>
    <w:rsid w:val="005F7B41"/>
    <w:rsid w:val="00612B3C"/>
    <w:rsid w:val="00614292"/>
    <w:rsid w:val="006168EF"/>
    <w:rsid w:val="0062765C"/>
    <w:rsid w:val="006513D4"/>
    <w:rsid w:val="00654EBC"/>
    <w:rsid w:val="006832AA"/>
    <w:rsid w:val="006A2EBA"/>
    <w:rsid w:val="006B4B60"/>
    <w:rsid w:val="006D107E"/>
    <w:rsid w:val="006D2F5E"/>
    <w:rsid w:val="006E6A91"/>
    <w:rsid w:val="006F2555"/>
    <w:rsid w:val="006F2F59"/>
    <w:rsid w:val="006F4920"/>
    <w:rsid w:val="00707DCB"/>
    <w:rsid w:val="007139E9"/>
    <w:rsid w:val="007172D7"/>
    <w:rsid w:val="00731703"/>
    <w:rsid w:val="0074073B"/>
    <w:rsid w:val="00742B05"/>
    <w:rsid w:val="00760057"/>
    <w:rsid w:val="00760E22"/>
    <w:rsid w:val="00766190"/>
    <w:rsid w:val="00770F56"/>
    <w:rsid w:val="00774BA2"/>
    <w:rsid w:val="0078308D"/>
    <w:rsid w:val="00783718"/>
    <w:rsid w:val="007A5025"/>
    <w:rsid w:val="007B309C"/>
    <w:rsid w:val="007B6FA0"/>
    <w:rsid w:val="007C390A"/>
    <w:rsid w:val="007C4FDD"/>
    <w:rsid w:val="007D090F"/>
    <w:rsid w:val="007D2918"/>
    <w:rsid w:val="007D4ED9"/>
    <w:rsid w:val="007F6A54"/>
    <w:rsid w:val="008169B4"/>
    <w:rsid w:val="008173FF"/>
    <w:rsid w:val="00832A3E"/>
    <w:rsid w:val="00832CD0"/>
    <w:rsid w:val="008331A6"/>
    <w:rsid w:val="00836B73"/>
    <w:rsid w:val="00837C98"/>
    <w:rsid w:val="00837DEF"/>
    <w:rsid w:val="008717AD"/>
    <w:rsid w:val="008761F1"/>
    <w:rsid w:val="008809EC"/>
    <w:rsid w:val="00881F29"/>
    <w:rsid w:val="00883D2B"/>
    <w:rsid w:val="0089452A"/>
    <w:rsid w:val="00897EB0"/>
    <w:rsid w:val="008A41A1"/>
    <w:rsid w:val="008B03FA"/>
    <w:rsid w:val="008B2CA9"/>
    <w:rsid w:val="008B7169"/>
    <w:rsid w:val="008C0272"/>
    <w:rsid w:val="008C780E"/>
    <w:rsid w:val="008D3412"/>
    <w:rsid w:val="008D3FCF"/>
    <w:rsid w:val="008E1E65"/>
    <w:rsid w:val="008E2F9A"/>
    <w:rsid w:val="008F3E70"/>
    <w:rsid w:val="008F49C8"/>
    <w:rsid w:val="00900A9F"/>
    <w:rsid w:val="00901A97"/>
    <w:rsid w:val="0090411C"/>
    <w:rsid w:val="00906F80"/>
    <w:rsid w:val="00907393"/>
    <w:rsid w:val="009106BE"/>
    <w:rsid w:val="00914A31"/>
    <w:rsid w:val="0091625F"/>
    <w:rsid w:val="0091692F"/>
    <w:rsid w:val="00920D72"/>
    <w:rsid w:val="009231E5"/>
    <w:rsid w:val="00924DBD"/>
    <w:rsid w:val="009508EC"/>
    <w:rsid w:val="00964042"/>
    <w:rsid w:val="0096644E"/>
    <w:rsid w:val="00975930"/>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5EFE"/>
    <w:rsid w:val="00A90BDD"/>
    <w:rsid w:val="00AA13E2"/>
    <w:rsid w:val="00AB66BB"/>
    <w:rsid w:val="00AC3C71"/>
    <w:rsid w:val="00AC7FA9"/>
    <w:rsid w:val="00AD1F79"/>
    <w:rsid w:val="00B17A9A"/>
    <w:rsid w:val="00B315E2"/>
    <w:rsid w:val="00B42ABE"/>
    <w:rsid w:val="00B45F78"/>
    <w:rsid w:val="00B52E2E"/>
    <w:rsid w:val="00B6222D"/>
    <w:rsid w:val="00B77C7F"/>
    <w:rsid w:val="00B85F3E"/>
    <w:rsid w:val="00B953CE"/>
    <w:rsid w:val="00BA21D3"/>
    <w:rsid w:val="00BA2A6A"/>
    <w:rsid w:val="00BA69A7"/>
    <w:rsid w:val="00BC0AA5"/>
    <w:rsid w:val="00BE2771"/>
    <w:rsid w:val="00BF409B"/>
    <w:rsid w:val="00BF7A63"/>
    <w:rsid w:val="00C00BDC"/>
    <w:rsid w:val="00C05F1D"/>
    <w:rsid w:val="00C21C55"/>
    <w:rsid w:val="00C25209"/>
    <w:rsid w:val="00C43D58"/>
    <w:rsid w:val="00C501E0"/>
    <w:rsid w:val="00C54D6C"/>
    <w:rsid w:val="00C62FC9"/>
    <w:rsid w:val="00C74723"/>
    <w:rsid w:val="00C766B4"/>
    <w:rsid w:val="00CC1382"/>
    <w:rsid w:val="00CC6848"/>
    <w:rsid w:val="00CE65BF"/>
    <w:rsid w:val="00CF4259"/>
    <w:rsid w:val="00CF73BF"/>
    <w:rsid w:val="00D01402"/>
    <w:rsid w:val="00D07810"/>
    <w:rsid w:val="00D12CDE"/>
    <w:rsid w:val="00D24254"/>
    <w:rsid w:val="00D27D5B"/>
    <w:rsid w:val="00D30246"/>
    <w:rsid w:val="00D31962"/>
    <w:rsid w:val="00D32549"/>
    <w:rsid w:val="00D34021"/>
    <w:rsid w:val="00D40956"/>
    <w:rsid w:val="00D64760"/>
    <w:rsid w:val="00D952F5"/>
    <w:rsid w:val="00DA12AB"/>
    <w:rsid w:val="00DB4529"/>
    <w:rsid w:val="00DC00E8"/>
    <w:rsid w:val="00DC5949"/>
    <w:rsid w:val="00DD13AF"/>
    <w:rsid w:val="00DE6C27"/>
    <w:rsid w:val="00E21565"/>
    <w:rsid w:val="00E37F7D"/>
    <w:rsid w:val="00E436B3"/>
    <w:rsid w:val="00E60A0B"/>
    <w:rsid w:val="00E636A7"/>
    <w:rsid w:val="00E71BF4"/>
    <w:rsid w:val="00E75C51"/>
    <w:rsid w:val="00E83802"/>
    <w:rsid w:val="00E85E59"/>
    <w:rsid w:val="00E870C1"/>
    <w:rsid w:val="00E87722"/>
    <w:rsid w:val="00E90BD6"/>
    <w:rsid w:val="00E92138"/>
    <w:rsid w:val="00E97B04"/>
    <w:rsid w:val="00EA1588"/>
    <w:rsid w:val="00EA5018"/>
    <w:rsid w:val="00EC00FD"/>
    <w:rsid w:val="00EC394E"/>
    <w:rsid w:val="00EE2691"/>
    <w:rsid w:val="00F16BC6"/>
    <w:rsid w:val="00F36042"/>
    <w:rsid w:val="00F40E60"/>
    <w:rsid w:val="00F436E0"/>
    <w:rsid w:val="00F47999"/>
    <w:rsid w:val="00F51A1F"/>
    <w:rsid w:val="00F60189"/>
    <w:rsid w:val="00F66240"/>
    <w:rsid w:val="00F66C31"/>
    <w:rsid w:val="00F6766E"/>
    <w:rsid w:val="00F71CCE"/>
    <w:rsid w:val="00F72B25"/>
    <w:rsid w:val="00F760CF"/>
    <w:rsid w:val="00F91DA6"/>
    <w:rsid w:val="00F94BF9"/>
    <w:rsid w:val="00FA6D1B"/>
    <w:rsid w:val="00FB0114"/>
    <w:rsid w:val="00FB46FF"/>
    <w:rsid w:val="00FC0413"/>
    <w:rsid w:val="00FC35C6"/>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5284</Words>
  <Characters>30122</Characters>
  <Application>Microsoft Office Word</Application>
  <DocSecurity>0</DocSecurity>
  <Lines>251</Lines>
  <Paragraphs>70</Paragraphs>
  <ScaleCrop>false</ScaleCrop>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157</cp:revision>
  <dcterms:created xsi:type="dcterms:W3CDTF">2019-09-26T01:43:00Z</dcterms:created>
  <dcterms:modified xsi:type="dcterms:W3CDTF">2020-02-12T09:41:00Z</dcterms:modified>
</cp:coreProperties>
</file>