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 向量微积分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以下三个微分算子是向量微积分的基础：梯度(gradient)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1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，散度(divergence)</w:t>
      </w:r>
      <w:r>
        <w:rPr>
          <w:rFonts w:hint="eastAsia"/>
          <w:position w:val="-6"/>
          <w:lang w:val="en-US" w:eastAsia="zh-CN"/>
        </w:rPr>
        <w:object>
          <v:shape id="_x0000_i1026" o:spt="75" alt="" type="#_x0000_t75" style="height:13.95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和旋度(curl)</w:t>
      </w:r>
      <w:r>
        <w:rPr>
          <w:rFonts w:hint="eastAsia"/>
          <w:position w:val="-6"/>
          <w:lang w:val="en-US" w:eastAsia="zh-CN"/>
        </w:rPr>
        <w:object>
          <v:shape id="_x0000_i1027" o:spt="75" alt="" type="#_x0000_t75" style="height:13.95pt;width:2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.有时它们在等式中表示为grad，div和curl.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梯度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梯度仅获取函数的所有空间偏导数，并返回向量</w:t>
      </w:r>
      <w:r>
        <w:rPr>
          <w:rFonts w:hint="eastAsia"/>
          <w:lang w:val="en-US" w:eastAsia="zh-CN"/>
        </w:rPr>
        <w:t>. 在二维空间中,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8" o:spt="75" type="#_x0000_t75" style="height:36pt;width:10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在三维空间中,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9" o:spt="75" alt="" type="#_x0000_t75" style="height:36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有时将梯度算子视为符号向量可能会有所帮助，例如在</w:t>
      </w:r>
      <w:r>
        <w:rPr>
          <w:rFonts w:hint="eastAsia"/>
          <w:lang w:val="en-US" w:eastAsia="zh-CN"/>
        </w:rPr>
        <w:t>三维空间中</w:t>
      </w:r>
      <w:r>
        <w:rPr>
          <w:rFonts w:hint="default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0" o:spt="75" type="#_x0000_t75" style="height:36pt;width:8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梯度经常用来近似局部函数：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1" o:spt="75" type="#_x0000_t75" style="height:17pt;width:144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在相关方面，我们可以评估函数的方向导数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也就是说，当沿着特定向量方向看时，使用梯度可以确定函数变化的速度</w:t>
      </w:r>
      <w:r>
        <w:rPr>
          <w:rFonts w:hint="eastAsia"/>
          <w:lang w:val="en-US" w:eastAsia="zh-CN"/>
        </w:rPr>
        <w:t>.例如，如果方向是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3" o:spt="75" type="#_x0000_t75" style="height:31pt;width:5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有时，我们会采用向量值函数的梯度，从而得到一个矩阵（雅可比矩阵）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例如，在三维空间中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034" o:spt="75" type="#_x0000_t75" style="height:98pt;width:16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5" o:spt="75" alt="" type="#_x0000_t75" style="height:19pt;width:14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矩阵向量乘积仅是计算矩阵的每一行与向量的点积，因此每一行应为函数的梯度：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6" o:spt="75" type="#_x0000_t75" style="height:56pt;width:9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另一种表示梯度的方法是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7" o:spt="75" type="#_x0000_t75" style="height:31pt;width:47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在偏导数的分母中使用向量表示我们正在对</w:t>
      </w:r>
      <w:r>
        <w:rPr>
          <w:rFonts w:hint="default"/>
          <w:position w:val="-6"/>
          <w:lang w:val="en-US" w:eastAsia="zh-CN"/>
        </w:rPr>
        <w:object>
          <v:shape id="_x0000_i1038" o:spt="75" type="#_x0000_t75" style="height:13.95pt;width:10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default"/>
          <w:lang w:val="en-US" w:eastAsia="zh-CN"/>
        </w:rPr>
        <w:t>的每个分量取导数</w:t>
      </w:r>
      <w:r>
        <w:rPr>
          <w:rFonts w:hint="eastAsia"/>
          <w:lang w:val="en-US" w:eastAsia="zh-CN"/>
        </w:rPr>
        <w:t>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A.1.2. 散度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散度运算符仅应用于矢量场，并测量矢量在任意点处收敛或发散了多少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在二维中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9" o:spt="75" type="#_x0000_t75" style="height:33pt;width:128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在三维空间中,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alt="" type="#_x0000_t75" style="height:33pt;width:16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请注意，输入是向量，输出是标量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通过将符号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16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解释为以符号形式表示梯度操作符和向量场之间的点积，例如在三维中进行解释为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4" o:spt="75" alt="" type="#_x0000_t75" style="height:36pt;width:2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3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旋度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旋度运算符测量向量场围绕任何固定点旋转了多少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在三维空间上，这是一个向量：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5" o:spt="75" type="#_x0000_t75" style="height:36pt;width:247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3" r:id="rId40">
            <o:LockedField>false</o:LockedField>
          </o:OLEObject>
        </w:objec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我们有两种方式将此公式缩减为二维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二维向量场的旋度结果是标量，上面表达式的第三个分量</w:t>
      </w:r>
      <w:r>
        <w:rPr>
          <w:rFonts w:hint="eastAsia"/>
          <w:lang w:val="en-US" w:eastAsia="zh-CN"/>
        </w:rPr>
        <w:t>如同我们使用三维向量场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36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2">
            <o:LockedField>false</o:LockedField>
          </o:OLEObject>
        </w:objec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6" o:spt="75" alt="" type="#_x0000_t75" style="height:33pt;width:13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4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二维标量场的旋度是一个向量，如果我们使用三维向量场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38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: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9" o:spt="75" type="#_x0000_t75" style="height:36pt;width:98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48">
            <o:LockedField>false</o:LockedField>
          </o:OLEObject>
        </w:objec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记住这些公式的简单方法是，旋度在梯度操作符和函数之间取叉乘。 例如，在三维空间中: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0" o:spt="75" type="#_x0000_t75" style="height:36pt;width:340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48" r:id="rId50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旋度是一种测量向量场在本地旋转的速度（以及在三维空间中绕哪个轴）的一种方法。想象一下你在水流中放一个小桨轮并使其旋转，那么旋度是小浆轮角速度的两倍。你可以采用代表刚体旋转的速度场的旋度来验证这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旋度为零的矢量场称为零旋度，或者出于明显的原因是无旋的。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A.1.4 拉普拉斯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拉普拉斯</w:t>
      </w:r>
      <w:r>
        <w:rPr>
          <w:rFonts w:hint="eastAsia"/>
          <w:lang w:val="en-US" w:eastAsia="zh-CN"/>
        </w:rPr>
        <w:t>算子</w:t>
      </w:r>
      <w:r>
        <w:rPr>
          <w:rFonts w:hint="default"/>
          <w:lang w:val="en-US" w:eastAsia="zh-CN"/>
        </w:rPr>
        <w:t>通常由梯度的发散形成（因为它在流体动力学中反复出现）。</w:t>
      </w:r>
      <w:r>
        <w:rPr>
          <w:rFonts w:hint="eastAsia"/>
          <w:lang w:val="en-US" w:eastAsia="zh-CN"/>
        </w:rPr>
        <w:t>有时它也被写为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16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3pt;width:11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>，但由于这些符号经常用于其它目的，所以我们这里使用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3.95pt;width:26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表示.在二维空间中,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7" o:spt="75" alt="" type="#_x0000_t75" style="height:35pt;width:96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2" r:id="rId58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并且在三维空间中,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5" o:spt="75" alt="" type="#_x0000_t75" style="height:35pt;width:12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3" r:id="rId60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拉普拉斯算子还可以应用于矢量场甚至矩阵场，其结果就是每个分量的拉普拉斯算子</w:t>
      </w:r>
      <w:r>
        <w:rPr>
          <w:rFonts w:hint="eastAsia"/>
          <w:lang w:val="en-US" w:eastAsia="zh-CN"/>
        </w:rP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顺便说一下，微分方程</w:t>
      </w:r>
      <w:r>
        <w:rPr>
          <w:rFonts w:hint="eastAsia"/>
          <w:position w:val="-10"/>
          <w:lang w:val="en-US" w:eastAsia="zh-CN"/>
        </w:rPr>
        <w:object>
          <v:shape id="_x0000_i1058" o:spt="75" alt="" type="#_x0000_t75" style="height:16pt;width:49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被称为拉普拉斯方程,如果右侧被非0值替换，即</w:t>
      </w:r>
      <w:r>
        <w:rPr>
          <w:rFonts w:hint="eastAsia"/>
          <w:position w:val="-10"/>
          <w:lang w:val="en-US" w:eastAsia="zh-CN"/>
        </w:rPr>
        <w:object>
          <v:shape id="_x0000_i1059" o:spt="75" alt="" type="#_x0000_t75" style="height:16pt;width:5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被称为泊松方程.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A.1.5 微分等式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基于以下事实，有一些等式更改混合偏导数的顺序不会更改结果（假设合理的平滑度），例如，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0" o:spt="75" type="#_x0000_t75" style="height:33pt;width:94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56" r:id="rId66">
            <o:LockedField>false</o:LockedField>
          </o:OLEObject>
        </w:objec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有了这个，对</w:t>
      </w:r>
      <w:r>
        <w:rPr>
          <w:rFonts w:hint="eastAsia"/>
          <w:lang w:val="en-US" w:eastAsia="zh-CN"/>
        </w:rPr>
        <w:t>任意</w:t>
      </w:r>
      <w:r>
        <w:rPr>
          <w:rFonts w:hint="default"/>
          <w:lang w:val="en-US" w:eastAsia="zh-CN"/>
        </w:rPr>
        <w:t>平滑函数很容易证明，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1" o:spt="75" type="#_x0000_t75" style="height:34pt;width:70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57" r:id="rId68">
            <o:LockedField>false</o:LockedField>
          </o:OLEObject>
        </w:objec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涡度计算中另一个等式是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2" o:spt="75" type="#_x0000_t75" style="height:17pt;width:143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58" r:id="rId70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亥姆霍兹分解或霍奇分解是任何光滑向量场u均可写为无散度部分和无旋度部分之和的结果。 实际上，回头看上面的前两个等式，无散度部分可以写为某些东西的旋度，而无旋度部分可以写为某些东西的梯度。 在三三维空间中，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7" o:spt="75" type="#_x0000_t75" style="height:16pt;width:7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7" DrawAspect="Content" ObjectID="_1468075759" r:id="rId72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12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4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>向量势函数值，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10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5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是标量势函数.在二维空间中这些退化为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2" r:id="rId78">
            <o:LockedField>false</o:LockedField>
          </o:OLEObject>
        </w:object>
      </w:r>
      <w:r>
        <w:rPr>
          <w:rFonts w:hint="eastAsia"/>
          <w:lang w:val="en-US" w:eastAsia="zh-CN"/>
        </w:rPr>
        <w:t>标量势函数：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8" o:spt="75" alt="" type="#_x0000_t75" style="height:16pt;width:7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3" r:id="rId8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这种分解与不可压缩的流体流动高度相关，因为我们可以将</w:t>
      </w:r>
      <w:r>
        <w:rPr>
          <w:rFonts w:hint="eastAsia"/>
          <w:lang w:val="en-US" w:eastAsia="zh-CN"/>
        </w:rPr>
        <w:t>压强</w:t>
      </w:r>
      <w:r>
        <w:rPr>
          <w:rFonts w:hint="default"/>
          <w:lang w:val="en-US" w:eastAsia="zh-CN"/>
        </w:rPr>
        <w:t>投影步骤解释为将中间速度场</w:t>
      </w:r>
      <w:r>
        <w:rPr>
          <w:rFonts w:hint="default"/>
          <w:position w:val="-6"/>
          <w:lang w:val="en-US" w:eastAsia="zh-CN"/>
        </w:rPr>
        <w:object>
          <v:shape id="_x0000_i1069" o:spt="75" type="#_x0000_t75" style="height:16pt;width:22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9" DrawAspect="Content" ObjectID="_1468075764" r:id="rId82">
            <o:LockedField>false</o:LockedField>
          </o:OLEObject>
        </w:object>
      </w:r>
      <w:r>
        <w:rPr>
          <w:rFonts w:hint="default"/>
          <w:lang w:val="en-US" w:eastAsia="zh-CN"/>
        </w:rPr>
        <w:t>分解为无散度部分</w:t>
      </w:r>
      <w:r>
        <w:rPr>
          <w:rFonts w:hint="eastAsia"/>
          <w:lang w:val="en-US" w:eastAsia="zh-CN"/>
        </w:rPr>
        <w:t>和其它被丢弃的部分</w:t>
      </w:r>
      <w:r>
        <w:rPr>
          <w:rFonts w:hint="default"/>
          <w:lang w:val="en-US" w:eastAsia="zh-CN"/>
        </w:rPr>
        <w:t>，只保留无散度的部分。当我们将无散度速度场表示为势ψ的</w:t>
      </w:r>
      <w:r>
        <w:rPr>
          <w:rFonts w:hint="eastAsia"/>
          <w:lang w:val="en-US" w:eastAsia="zh-CN"/>
        </w:rPr>
        <w:t>旋度</w:t>
      </w:r>
      <w:r>
        <w:rPr>
          <w:rFonts w:hint="default"/>
          <w:lang w:val="en-US" w:eastAsia="zh-CN"/>
        </w:rPr>
        <w:t>时，我们称ψ为流函数</w:t>
      </w:r>
      <w:r>
        <w:rPr>
          <w:rFonts w:hint="eastAsia"/>
          <w:lang w:val="en-US" w:eastAsia="zh-CN"/>
        </w:rPr>
        <w:t>(streamfunction).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一些有用的等式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4pt;width:123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0" DrawAspect="Content" ObjectID="_1468075765" r:id="rId8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A.1.6 积分等式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A.1.7 基础张量符号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 数值方法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本书重点介绍基于有限差分的方法，这些方法本身可以简单地归结为泰勒级数的应用。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假设函数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6pt;width:12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>至少有k阶平滑导数,则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5pt;width:441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2" DrawAspect="Content" ObjectID="_1468075767" r:id="rId88">
            <o:LockedField>false</o:LockedField>
          </o:OLEObject>
        </w:object>
      </w:r>
      <w:r>
        <w:rPr>
          <w:rFonts w:hint="eastAsia"/>
          <w:lang w:val="en-US" w:eastAsia="zh-CN"/>
        </w:rPr>
        <w:t>剩余项</w:t>
      </w:r>
      <w:r>
        <w:rPr>
          <w:rFonts w:hint="eastAsia"/>
          <w:position w:val="-12"/>
          <w:lang w:val="en-US" w:eastAsia="zh-CN"/>
        </w:rPr>
        <w:object>
          <v:shape id="_x0000_i1073" o:spt="75" type="#_x0000_t75" style="height:18pt;width:15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68" r:id="rId90">
            <o:LockedField>false</o:LockedField>
          </o:OLEObject>
        </w:object>
      </w:r>
      <w:r>
        <w:rPr>
          <w:rFonts w:hint="eastAsia"/>
          <w:lang w:val="en-US" w:eastAsia="zh-CN"/>
        </w:rPr>
        <w:t>可以用多个方式表达，例如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4" o:spt="75" type="#_x0000_t75" style="height:33pt;width:129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69" r:id="rId9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5" o:spt="75" type="#_x0000_t75" style="height:33pt;width:93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其中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7pt;width:69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1" r:id="rId96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7" o:spt="75" type="#_x0000_t75" style="height:19pt;width:64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7" DrawAspect="Content" ObjectID="_1468075772" r:id="rId98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注意，</w:t>
      </w:r>
      <w:r>
        <w:rPr>
          <w:rFonts w:hint="default"/>
          <w:position w:val="-6"/>
          <w:lang w:val="en-US" w:eastAsia="zh-CN"/>
        </w:rPr>
        <w:object>
          <v:shape id="_x0000_i1078" o:spt="75" type="#_x0000_t75" style="height:13.95pt;width:17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8" DrawAspect="Content" ObjectID="_1468075773" r:id="rId100">
            <o:LockedField>false</o:LockedField>
          </o:OLEObject>
        </w:object>
      </w:r>
      <w:r>
        <w:rPr>
          <w:rFonts w:hint="default"/>
          <w:lang w:val="en-US" w:eastAsia="zh-CN"/>
        </w:rPr>
        <w:t>可能为负，在这种情况下，剩余项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区间</w: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49.95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9" DrawAspect="Content" ObjectID="_1468075774" r:id="rId10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我们通常会使用简单的</w:t>
      </w:r>
      <w:r>
        <w:rPr>
          <w:rFonts w:hint="default"/>
          <w:position w:val="-10"/>
          <w:lang w:val="en-US" w:eastAsia="zh-CN"/>
        </w:rPr>
        <w:object>
          <v:shape id="_x0000_i1080" o:spt="75" type="#_x0000_t75" style="height:16pt;width:20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75" r:id="rId104">
            <o:LockedField>false</o:LockedField>
          </o:OLEObject>
        </w:object>
      </w:r>
      <w:r>
        <w:rPr>
          <w:rFonts w:hint="default"/>
          <w:lang w:val="en-US" w:eastAsia="zh-CN"/>
        </w:rPr>
        <w:t>形式，但要记住，隐藏常数与</w:t>
      </w:r>
      <w:r>
        <w:rPr>
          <w:rFonts w:hint="default"/>
          <w:position w:val="-10"/>
          <w:lang w:val="en-US" w:eastAsia="zh-CN"/>
        </w:rPr>
        <w:object>
          <v:shape id="_x0000_i1081" o:spt="75" type="#_x0000_t75" style="height:16pt;width:12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1" DrawAspect="Content" ObjectID="_1468075776" r:id="rId106">
            <o:LockedField>false</o:LockedField>
          </o:OLEObject>
        </w:object>
      </w:r>
      <w:r>
        <w:rPr>
          <w:rFonts w:hint="default"/>
          <w:lang w:val="en-US" w:eastAsia="zh-CN"/>
        </w:rPr>
        <w:t>的k阶导数有关-如果</w:t>
      </w:r>
      <w:r>
        <w:rPr>
          <w:rFonts w:hint="default"/>
          <w:position w:val="-10"/>
          <w:lang w:val="en-US" w:eastAsia="zh-CN"/>
        </w:rPr>
        <w:object>
          <v:shape id="_x0000_i1082" o:spt="75" type="#_x0000_t75" style="height:16pt;width:12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2" DrawAspect="Content" ObjectID="_1468075777" r:id="rId108">
            <o:LockedField>false</o:LockedField>
          </o:OLEObject>
        </w:object>
      </w:r>
      <w:r>
        <w:rPr>
          <w:rFonts w:hint="default"/>
          <w:lang w:val="en-US" w:eastAsia="zh-CN"/>
        </w:rPr>
        <w:t>不是特别平滑，则剩余项有可能很大，此时泰勒级数失效</w:t>
      </w:r>
      <w:r>
        <w:rPr>
          <w:rFonts w:hint="eastAsia"/>
          <w:lang w:val="en-US" w:eastAsia="zh-CN"/>
        </w:rPr>
        <w:t>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空间上的有限差分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可以使用泰勒定理来估计在网格上采样的平滑函数的偏导数</w:t>
      </w:r>
      <w:r>
        <w:rPr>
          <w:rFonts w:hint="eastAsia"/>
          <w:lang w:val="en-US" w:eastAsia="zh-CN"/>
        </w:rPr>
        <w:t>.例如，对于在间隔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3.95pt;width:17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78" r:id="rId110">
            <o:LockedField>false</o:LockedField>
          </o:OLEObject>
        </w:object>
      </w:r>
      <w:r>
        <w:rPr>
          <w:rFonts w:hint="eastAsia"/>
          <w:lang w:val="en-US" w:eastAsia="zh-CN"/>
        </w:rPr>
        <w:t>的网格上采样的函数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24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4" DrawAspect="Content" ObjectID="_1468075779" r:id="rId112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8pt;width:90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5" DrawAspect="Content" ObjectID="_1468075780" r:id="rId114">
            <o:LockedField>false</o:LockedField>
          </o:OLEObject>
        </w:object>
      </w:r>
      <w:r>
        <w:rPr>
          <w:rFonts w:hint="eastAsia"/>
          <w:lang w:val="en-US" w:eastAsia="zh-CN"/>
        </w:rPr>
        <w:t>，泰勒定理给出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86" o:spt="75" type="#_x0000_t75" style="height:31pt;width:144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6" DrawAspect="Content" ObjectID="_1468075781" r:id="rId116">
            <o:LockedField>false</o:LockedField>
          </o:OLEObject>
        </w:objec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重新整理该等式可以估算出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6pt;width:34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7" DrawAspect="Content" ObjectID="_1468075782" r:id="rId118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088" o:spt="75" type="#_x0000_t75" style="height:18pt;width:12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3" r:id="rId120">
            <o:LockedField>false</o:LockedField>
          </o:OLEObject>
        </w:object>
      </w:r>
      <w:r>
        <w:rPr>
          <w:rFonts w:hint="eastAsia"/>
          <w:lang w:val="en-US" w:eastAsia="zh-CN"/>
        </w:rPr>
        <w:t>处的值：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5" o:spt="75" type="#_x0000_t75" style="height:31pt;width:127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5" DrawAspect="Content" ObjectID="_1468075784" r:id="rId122">
            <o:LockedField>false</o:LockedField>
          </o:OLEObject>
        </w:objec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注意经过除以</w:t>
      </w:r>
      <w:r>
        <w:rPr>
          <w:rFonts w:hint="eastAsia"/>
          <w:position w:val="-6"/>
          <w:lang w:val="en-US" w:eastAsia="zh-CN"/>
        </w:rPr>
        <w:object>
          <v:shape id="_x0000_i1090" o:spt="75" type="#_x0000_t75" style="height:13.95pt;width:17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0" DrawAspect="Content" ObjectID="_1468075785" r:id="rId124">
            <o:LockedField>false</o:LockedField>
          </o:OLEObject>
        </w:object>
      </w:r>
      <w:r>
        <w:rPr>
          <w:rFonts w:hint="eastAsia"/>
          <w:lang w:val="en-US" w:eastAsia="zh-CN"/>
        </w:rPr>
        <w:t>之后，误差项被降低为一阶导数，即</w:t>
      </w:r>
      <w:r>
        <w:rPr>
          <w:rFonts w:hint="eastAsia"/>
          <w:position w:val="-10"/>
          <w:lang w:val="en-US" w:eastAsia="zh-CN"/>
        </w:rPr>
        <w:object>
          <v:shape id="_x0000_i1091" o:spt="75" type="#_x0000_t75" style="height:16pt;width:20pt;" o:ole="t" filled="f" o:preferrelative="t" stroked="f" coordsize="21600,21600"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1" DrawAspect="Content" ObjectID="_1468075786" r:id="rId126">
            <o:LockedField>false</o:LockedField>
          </o:OLEObject>
        </w:object>
      </w:r>
      <w:r>
        <w:rPr>
          <w:rFonts w:hint="eastAsia"/>
          <w:lang w:val="en-US" w:eastAsia="zh-CN"/>
        </w:rPr>
        <w:t>中的</w:t>
      </w:r>
      <w:r>
        <w:rPr>
          <w:rFonts w:hint="eastAsia"/>
          <w:position w:val="-6"/>
          <w:lang w:val="en-US" w:eastAsia="zh-CN"/>
        </w:rPr>
        <w:object>
          <v:shape id="_x0000_i1092" o:spt="75" type="#_x0000_t75" style="height:13.95pt;width:17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2" DrawAspect="Content" ObjectID="_1468075787" r:id="rId128">
            <o:LockedField>false</o:LockedField>
          </o:OLEObject>
        </w:object>
      </w:r>
      <w:r>
        <w:rPr>
          <w:rFonts w:hint="eastAsia"/>
          <w:lang w:val="en-US" w:eastAsia="zh-CN"/>
        </w:rPr>
        <w:t>的指数为1.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当然，你也可以从</w:t>
      </w:r>
      <w:r>
        <w:rPr>
          <w:rFonts w:hint="eastAsia"/>
          <w:position w:val="-12"/>
          <w:lang w:val="en-US" w:eastAsia="zh-CN"/>
        </w:rPr>
        <w:object>
          <v:shape id="_x0000_i1093" o:spt="75" type="#_x0000_t75" style="height:18pt;width:19pt;" o:ole="t" filled="f" o:preferrelative="t" stroked="f" coordsize="21600,21600"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3" DrawAspect="Content" ObjectID="_1468075788" r:id="rId130">
            <o:LockedField>false</o:LockedField>
          </o:OLEObject>
        </w:object>
      </w:r>
      <w:r>
        <w:rPr>
          <w:rFonts w:hint="eastAsia"/>
          <w:lang w:val="en-US" w:eastAsia="zh-CN"/>
        </w:rPr>
        <w:t>估算相同的导数，对</w:t>
      </w:r>
      <w:r>
        <w:rPr>
          <w:rFonts w:hint="eastAsia"/>
          <w:position w:val="-12"/>
          <w:lang w:val="en-US" w:eastAsia="zh-CN"/>
        </w:rPr>
        <w:object>
          <v:shape id="_x0000_i1094" o:spt="75" type="#_x0000_t75" style="height:18pt;width:69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4" DrawAspect="Content" ObjectID="_1468075789" r:id="rId132">
            <o:LockedField>false</o:LockedField>
          </o:OLEObject>
        </w:object>
      </w:r>
      <w:r>
        <w:rPr>
          <w:rFonts w:hint="eastAsia"/>
          <w:lang w:val="en-US" w:eastAsia="zh-CN"/>
        </w:rPr>
        <w:t>使用泰勒定理：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7" o:spt="75" alt="" type="#_x0000_t75" style="height:31pt;width:127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7" DrawAspect="Content" ObjectID="_1468075790" r:id="rId134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这也是一阶精确。 由于使用了仅在逼近点一侧的q值，因此和先前的有限差分都是单侧的。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对于中心或中心有限差分，我们可以同时使用</w:t>
      </w:r>
      <w:r>
        <w:rPr>
          <w:rFonts w:hint="default"/>
          <w:position w:val="-12"/>
          <w:lang w:val="en-US" w:eastAsia="zh-CN"/>
        </w:rPr>
        <w:object>
          <v:shape id="_x0000_i1098" o:spt="75" type="#_x0000_t75" style="height:18pt;width:19pt;" o:ole="t" filled="f" o:preferrelative="t" stroked="f" coordsize="21600,21600"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8" DrawAspect="Content" ObjectID="_1468075791" r:id="rId136">
            <o:LockedField>false</o:LockedField>
          </o:OLEObject>
        </w:object>
      </w:r>
      <w:r>
        <w:rPr>
          <w:rFonts w:hint="default"/>
          <w:lang w:val="en-US" w:eastAsia="zh-CN"/>
        </w:rPr>
        <w:t>和</w:t>
      </w:r>
      <w:r>
        <w:rPr>
          <w:rFonts w:hint="default"/>
          <w:position w:val="-12"/>
          <w:lang w:val="en-US" w:eastAsia="zh-CN"/>
        </w:rPr>
        <w:object>
          <v:shape id="_x0000_i1099" o:spt="75" type="#_x0000_t75" style="height:18pt;width:19pt;" o:ole="t" filled="f" o:preferrelative="t" stroked="f" coordsize="21600,21600"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9" DrawAspect="Content" ObjectID="_1468075792" r:id="rId138">
            <o:LockedField>false</o:LockedField>
          </o:OLEObject>
        </w:object>
      </w:r>
      <w:r>
        <w:rPr>
          <w:rFonts w:hint="default"/>
          <w:lang w:val="en-US" w:eastAsia="zh-CN"/>
        </w:rPr>
        <w:t>获得二阶精度：我们近似的值位于所用点的中心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这两点的泰勒级数：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00" o:spt="75" type="#_x0000_t75" style="height:66pt;width:214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0" DrawAspect="Content" ObjectID="_1468075793" r:id="rId140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两个公式相减，消去相同项，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1" o:spt="75" type="#_x0000_t75" style="height:31pt;width:157pt;" o:ole="t" filled="f" o:preferrelative="t" stroked="f" coordsize="21600,21600"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1" DrawAspect="Content" ObjectID="_1468075794" r:id="rId1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除以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3.95pt;width:23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2" DrawAspect="Content" ObjectID="_1468075795" r:id="rId144">
            <o:LockedField>false</o:LockedField>
          </o:OLEObject>
        </w:object>
      </w:r>
      <w:r>
        <w:rPr>
          <w:rFonts w:hint="eastAsia"/>
          <w:lang w:val="en-US" w:eastAsia="zh-CN"/>
        </w:rPr>
        <w:t>，得到二阶精确中心有限差分：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7" o:spt="75" type="#_x0000_t75" style="height:31pt;width:138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7" DrawAspect="Content" ObjectID="_1468075796" r:id="rId14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二阶精确中心有限差分同样适用于点</w:t>
      </w:r>
      <w:r>
        <w:rPr>
          <w:rFonts w:hint="eastAsia"/>
          <w:position w:val="-12"/>
          <w:lang w:val="en-US" w:eastAsia="zh-CN"/>
        </w:rPr>
        <w:object>
          <v:shape id="_x0000_i1104" o:spt="75" type="#_x0000_t75" style="height:18pt;width:90pt;" o:ole="t" filled="f" o:preferrelative="t" stroked="f" coordsize="21600,21600"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4" DrawAspect="Content" ObjectID="_1468075797" r:id="rId148">
            <o:LockedField>false</o:LockedField>
          </o:OLEObject>
        </w:objec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5" o:spt="75" type="#_x0000_t75" style="height:31pt;width:146pt;" o:ole="t" filled="f" o:preferrelative="t" stroked="f" coordsize="21600,21600"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5" DrawAspect="Content" ObjectID="_1468075798" r:id="rId15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在本书中我们同样要处理在中间点采样的函数,</w:t>
      </w:r>
      <w:r>
        <w:rPr>
          <w:rFonts w:hint="eastAsia"/>
          <w:position w:val="-12"/>
          <w:lang w:val="en-US" w:eastAsia="zh-CN"/>
        </w:rPr>
        <w:object>
          <v:shape id="_x0000_i1106" o:spt="75" type="#_x0000_t75" style="height:18pt;width:76pt;" o:ole="t" filled="f" o:preferrelative="t" stroked="f" coordsize="21600,21600"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6" DrawAspect="Content" ObjectID="_1468075799" r:id="rId152">
            <o:LockedField>false</o:LockedField>
          </o:OLEObject>
        </w:object>
      </w:r>
      <w:r>
        <w:rPr>
          <w:rFonts w:hint="eastAsia"/>
          <w:lang w:val="en-US" w:eastAsia="zh-CN"/>
        </w:rPr>
        <w:t>,我们得到相似的公式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8" o:spt="75" alt="" type="#_x0000_t75" style="height:31pt;width:153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8" DrawAspect="Content" ObjectID="_1468075800" r:id="rId15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高阶导数也可以被估算. 特别地，对于二阶导数</w:t>
      </w:r>
      <w:r>
        <w:rPr>
          <w:rFonts w:hint="eastAsia"/>
          <w:position w:val="-10"/>
          <w:lang w:val="en-US" w:eastAsia="zh-CN"/>
        </w:rPr>
        <w:object>
          <v:shape id="_x0000_i1109" o:spt="75" type="#_x0000_t75" style="height:18pt;width:42.95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9" DrawAspect="Content" ObjectID="_1468075801" r:id="rId156">
            <o:LockedField>false</o:LockedField>
          </o:OLEObject>
        </w:object>
      </w:r>
      <w:r>
        <w:rPr>
          <w:rFonts w:hint="eastAsia"/>
          <w:lang w:val="en-US" w:eastAsia="zh-CN"/>
        </w:rPr>
        <w:t>我们可以获得二阶精确中心有限差分，泰勒级数为：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10" o:spt="75" type="#_x0000_t75" style="height:66pt;width:283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10" DrawAspect="Content" ObjectID="_1468075802" r:id="rId15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以下组合消去了大多数项：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11" o:spt="75" type="#_x0000_t75" style="height:33pt;width:188pt;" o:ole="t" filled="f" o:preferrelative="t" stroked="f" coordsize="21600,21600"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1" DrawAspect="Content" ObjectID="_1468075803" r:id="rId16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除以</w:t>
      </w:r>
      <w:r>
        <w:rPr>
          <w:rFonts w:hint="eastAsia"/>
          <w:position w:val="-6"/>
          <w:lang w:val="en-US" w:eastAsia="zh-CN"/>
        </w:rPr>
        <w:object>
          <v:shape id="_x0000_i1112" o:spt="75" type="#_x0000_t75" style="height:16pt;width:21pt;" o:ole="t" filled="f" o:preferrelative="t" stroked="f" coordsize="21600,21600"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12" DrawAspect="Content" ObjectID="_1468075804" r:id="rId162">
            <o:LockedField>false</o:LockedField>
          </o:OLEObject>
        </w:object>
      </w:r>
      <w:r>
        <w:rPr>
          <w:rFonts w:hint="eastAsia"/>
          <w:lang w:val="en-US" w:eastAsia="zh-CN"/>
        </w:rPr>
        <w:t>，得到有限差分公式，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13" o:spt="75" type="#_x0000_t75" style="height:33pt;width:170pt;" o:ole="t" filled="f" o:preferrelative="t" stroked="f" coordsize="21600,21600"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3" DrawAspect="Content" ObjectID="_1468075805" r:id="rId16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时间积分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在时间上求解微分方程通常围绕相同的有限差分方法。 例如，</w:t>
      </w:r>
      <w:r>
        <w:rPr>
          <w:rFonts w:hint="eastAsia"/>
          <w:lang w:val="en-US" w:eastAsia="zh-CN"/>
        </w:rPr>
        <w:t>以初始条件</w:t>
      </w:r>
      <w:r>
        <w:rPr>
          <w:rFonts w:hint="eastAsia"/>
          <w:position w:val="-10"/>
          <w:lang w:val="en-US" w:eastAsia="zh-CN"/>
        </w:rPr>
        <w:object>
          <v:shape id="_x0000_i1115" o:spt="75" type="#_x0000_t75" style="height:18pt;width:46pt;" o:ole="t" filled="f" o:preferrelative="t" stroked="f" coordsize="21600,21600"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5" DrawAspect="Content" ObjectID="_1468075806" r:id="rId166">
            <o:LockedField>false</o:LockedField>
          </o:OLEObject>
        </w:object>
      </w:r>
      <w:r>
        <w:rPr>
          <w:rFonts w:hint="default"/>
          <w:lang w:val="en-US" w:eastAsia="zh-CN"/>
        </w:rPr>
        <w:t>求解微分方程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14" o:spt="75" type="#_x0000_t75" style="height:31pt;width:52pt;" o:ole="t" filled="f" o:preferrelative="t" stroked="f" coordsize="21600,21600"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4" DrawAspect="Content" ObjectID="_1468075807" r:id="rId16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我们可以在离散时间</w:t>
      </w:r>
      <w:r>
        <w:rPr>
          <w:rFonts w:hint="eastAsia"/>
          <w:position w:val="-6"/>
          <w:lang w:val="en-US" w:eastAsia="zh-CN"/>
        </w:rPr>
        <w:object>
          <v:shape id="_x0000_i1116" o:spt="75" type="#_x0000_t75" style="height:16pt;width:12pt;" o:ole="t" filled="f" o:preferrelative="t" stroked="f" coordsize="21600,21600"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6" DrawAspect="Content" ObjectID="_1468075808" r:id="rId170">
            <o:LockedField>false</o:LockedField>
          </o:OLEObject>
        </w:object>
      </w:r>
      <w:r>
        <w:rPr>
          <w:rFonts w:hint="eastAsia"/>
          <w:lang w:val="en-US" w:eastAsia="zh-CN"/>
        </w:rPr>
        <w:t>出近似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3pt;width:10pt;" o:ole="t" filled="f" o:preferrelative="t" stroked="f" coordsize="21600,21600"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7" DrawAspect="Content" ObjectID="_1468075809" r:id="rId17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0"/>
          <w:lang w:val="en-US" w:eastAsia="zh-CN"/>
        </w:rPr>
        <w:object>
          <v:shape id="_x0000_i1118" o:spt="75" type="#_x0000_t75" style="height:18pt;width:49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8" DrawAspect="Content" ObjectID="_1468075810" r:id="rId174">
            <o:LockedField>false</o:LockedField>
          </o:OLEObject>
        </w:object>
      </w:r>
      <w:r>
        <w:rPr>
          <w:rFonts w:hint="eastAsia"/>
          <w:lang w:val="en-US" w:eastAsia="zh-CN"/>
        </w:rPr>
        <w:t>.时间步</w:t>
      </w:r>
      <w:r>
        <w:rPr>
          <w:rFonts w:hint="eastAsia"/>
          <w:position w:val="-6"/>
          <w:lang w:val="en-US" w:eastAsia="zh-CN"/>
        </w:rPr>
        <w:object>
          <v:shape id="_x0000_i1119" o:spt="75" type="#_x0000_t75" style="height:13.95pt;width:15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9" DrawAspect="Content" ObjectID="_1468075811" r:id="rId176">
            <o:LockedField>false</o:LockedField>
          </o:OLEObject>
        </w:object>
      </w:r>
      <w:r>
        <w:rPr>
          <w:rFonts w:hint="eastAsia"/>
          <w:lang w:val="en-US" w:eastAsia="zh-CN"/>
        </w:rPr>
        <w:t>是这些离散时间之间的时长:</w:t>
      </w:r>
      <w:r>
        <w:rPr>
          <w:rFonts w:hint="eastAsia"/>
          <w:position w:val="-6"/>
          <w:lang w:val="en-US" w:eastAsia="zh-CN"/>
        </w:rPr>
        <w:object>
          <v:shape id="_x0000_i1120" o:spt="75" type="#_x0000_t75" style="height:16pt;width:62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0" DrawAspect="Content" ObjectID="_1468075812" r:id="rId178">
            <o:LockedField>false</o:LockedField>
          </o:OLEObject>
        </w:object>
      </w:r>
      <w:r>
        <w:rPr>
          <w:rFonts w:hint="eastAsia"/>
          <w:lang w:val="en-US" w:eastAsia="zh-CN"/>
        </w:rPr>
        <w:t>.该时间步长在这些离散时间之间可能并不相同.时间积分的过程是按顺序地确定近似值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8pt;width:45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1" DrawAspect="Content" ObjectID="_1468075813" r:id="rId180">
            <o:LockedField>false</o:LockedField>
          </o:OLEObject>
        </w:object>
      </w:r>
      <w:r>
        <w:rPr>
          <w:rFonts w:hint="eastAsia"/>
          <w:lang w:val="en-US" w:eastAsia="zh-CN"/>
        </w:rPr>
        <w:t>.由于我们在近似地求解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122" o:spt="75" type="#_x0000_t75" style="height:26pt;width:94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22" DrawAspect="Content" ObjectID="_1468075814" r:id="rId18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所以被称为积分.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最简单的时间积分方法是前向欧拉法(forward Euler)，基于一阶单侧有限差分公式：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23" o:spt="75" type="#_x0000_t75" style="height:33pt;width:129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23" DrawAspect="Content" ObjectID="_1468075815" r:id="rId18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带入微分方程并重新整理项，根据前一个</w:t>
      </w:r>
      <w:r>
        <w:rPr>
          <w:rFonts w:hint="eastAsia"/>
          <w:position w:val="-10"/>
          <w:lang w:val="en-US" w:eastAsia="zh-CN"/>
        </w:rPr>
        <w:object>
          <v:shape id="_x0000_i1124" o:spt="75" type="#_x0000_t75" style="height:18pt;width:13.95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4" DrawAspect="Content" ObjectID="_1468075816" r:id="rId186">
            <o:LockedField>false</o:LockedField>
          </o:OLEObject>
        </w:object>
      </w:r>
      <w:r>
        <w:rPr>
          <w:rFonts w:hint="eastAsia"/>
          <w:lang w:val="en-US" w:eastAsia="zh-CN"/>
        </w:rPr>
        <w:t>计算</w:t>
      </w:r>
      <w:r>
        <w:rPr>
          <w:rFonts w:hint="eastAsia"/>
          <w:position w:val="-10"/>
          <w:lang w:val="en-US" w:eastAsia="zh-CN"/>
        </w:rPr>
        <w:object>
          <v:shape id="_x0000_i1126" o:spt="75" type="#_x0000_t75" style="height:18pt;width:21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6" DrawAspect="Content" ObjectID="_1468075817" r:id="rId18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7" o:spt="75" type="#_x0000_t75" style="height:18pt;width:92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7" DrawAspect="Content" ObjectID="_1468075818" r:id="rId19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这仅仅是一阶精确.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本书利用了一些更高级的时间积分方案，例如Runge-Kutta方法。 Runge-Kutta系列通过在一个时间步中的多个点上评估f获得了更高阶的精度和其他数值优势。 例如，经典的二阶精确Runge-Kutta方法之一可以写成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28" o:spt="75" type="#_x0000_t75" style="height:49.95pt;width:111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8" DrawAspect="Content" ObjectID="_1468075819" r:id="rId192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最好的三阶精确Runge-Kutta公式由Ralston [Ral62]给出</w:t>
      </w:r>
      <w:r>
        <w:rPr>
          <w:rFonts w:hint="eastAsia"/>
          <w:lang w:val="en-US" w:eastAsia="zh-CN"/>
        </w:rPr>
        <w:t>: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129" o:spt="75" type="#_x0000_t75" style="height:121.95pt;width:170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9" DrawAspect="Content" ObjectID="_1468075820" r:id="rId194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许多时间积分方案都带有警告，除非将Δt选得足够小，否则尽管精确解仍然有界，但计算出的解却呈指数级爆炸。 这被称为稳定时间步长限制。 对于某些问题，无论∆t多么小，时间积分方案都可能甚至不稳定：在某些情况下，上述正向Euler方案和上述二阶精确Runge-Kutta方案都存在此缺陷。 结果，三阶精确的Runge-Kutta方案可以被认为是最简单的通用方法。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MSS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14FBA"/>
    <w:rsid w:val="1DBA5CBF"/>
    <w:rsid w:val="21A64998"/>
    <w:rsid w:val="32E266CA"/>
    <w:rsid w:val="35AF3E0E"/>
    <w:rsid w:val="467269D7"/>
    <w:rsid w:val="4E3B753C"/>
    <w:rsid w:val="4E650D56"/>
    <w:rsid w:val="626C6AA1"/>
    <w:rsid w:val="73AB4272"/>
    <w:rsid w:val="7EF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7" Type="http://schemas.openxmlformats.org/officeDocument/2006/relationships/fontTable" Target="fontTable.xml"/><Relationship Id="rId196" Type="http://schemas.openxmlformats.org/officeDocument/2006/relationships/customXml" Target="../customXml/item1.xml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2019-12-05T13:49:05Z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