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D9D5D7" w14:textId="2FA911A1" w:rsidR="005F4ECF" w:rsidRDefault="005F4ECF">
      <w:r>
        <w:rPr>
          <w:rFonts w:hint="eastAsia"/>
        </w:rPr>
        <w:t>1.1</w:t>
      </w:r>
      <w:r>
        <w:t xml:space="preserve"> </w:t>
      </w:r>
      <w:r>
        <w:rPr>
          <w:rFonts w:hint="eastAsia"/>
        </w:rPr>
        <w:t>概览</w:t>
      </w:r>
      <w:r>
        <w:tab/>
      </w:r>
    </w:p>
    <w:p w14:paraId="19ACBA62" w14:textId="6547702A" w:rsidR="00767B5B" w:rsidRDefault="005F4ECF">
      <w:r>
        <w:tab/>
      </w:r>
      <w:r w:rsidRPr="005F4ECF">
        <w:rPr>
          <w:rFonts w:hint="eastAsia"/>
        </w:rPr>
        <w:t>本章介绍了</w:t>
      </w:r>
      <w:r>
        <w:rPr>
          <w:rFonts w:hint="eastAsia"/>
        </w:rPr>
        <w:t>《</w:t>
      </w:r>
      <w:r w:rsidRPr="005F4ECF">
        <w:rPr>
          <w:rFonts w:hint="eastAsia"/>
        </w:rPr>
        <w:t>杀戮地带：暗影坠落</w:t>
      </w:r>
      <w:r>
        <w:rPr>
          <w:rFonts w:hint="eastAsia"/>
        </w:rPr>
        <w:t>》</w:t>
      </w:r>
      <w:r w:rsidRPr="005F4ECF">
        <w:t>中使用的基于物理的区域照明系统</w:t>
      </w:r>
      <w:r>
        <w:rPr>
          <w:rFonts w:hint="eastAsia"/>
        </w:rPr>
        <w:t>，</w:t>
      </w:r>
      <w:r w:rsidRPr="005F4ECF">
        <w:t>由Guerrilla Games为</w:t>
      </w:r>
      <w:proofErr w:type="spellStart"/>
      <w:r w:rsidRPr="005F4ECF">
        <w:t>Playstation</w:t>
      </w:r>
      <w:proofErr w:type="spellEnd"/>
      <w:r w:rsidRPr="005F4ECF">
        <w:t xml:space="preserve"> 4开发（见图1.1）</w:t>
      </w:r>
      <w:r>
        <w:rPr>
          <w:rFonts w:hint="eastAsia"/>
        </w:rPr>
        <w:t>。</w:t>
      </w:r>
    </w:p>
    <w:p w14:paraId="0EF3FF26" w14:textId="46CDEECE" w:rsidR="00880AAE" w:rsidRPr="005F4ECF" w:rsidRDefault="005F4ECF">
      <w:r>
        <w:tab/>
      </w:r>
      <w:r w:rsidRPr="005F4ECF">
        <w:rPr>
          <w:rFonts w:hint="eastAsia"/>
        </w:rPr>
        <w:t>我们为区域</w:t>
      </w:r>
      <w:r>
        <w:rPr>
          <w:rFonts w:hint="eastAsia"/>
        </w:rPr>
        <w:t>光</w:t>
      </w:r>
      <w:r w:rsidRPr="005F4ECF">
        <w:rPr>
          <w:rFonts w:hint="eastAsia"/>
        </w:rPr>
        <w:t>提供了一种新颖的实时分析模型，能够支持多种</w:t>
      </w:r>
      <w:r>
        <w:rPr>
          <w:rFonts w:hint="eastAsia"/>
        </w:rPr>
        <w:t>光源</w:t>
      </w:r>
      <w:r w:rsidRPr="005F4ECF">
        <w:rPr>
          <w:rFonts w:hint="eastAsia"/>
        </w:rPr>
        <w:t>形状。</w:t>
      </w:r>
      <w:r w:rsidRPr="005F4ECF">
        <w:t>每个形状可以通过简单3D或平面上的2D函数表示。讨论的形状</w:t>
      </w:r>
      <w:r>
        <w:rPr>
          <w:rFonts w:hint="eastAsia"/>
        </w:rPr>
        <w:t>包括</w:t>
      </w:r>
      <w:r w:rsidRPr="005F4ECF">
        <w:t>：球体，</w:t>
      </w:r>
      <w:r>
        <w:rPr>
          <w:rFonts w:hint="eastAsia"/>
        </w:rPr>
        <w:t>圆盘</w:t>
      </w:r>
      <w:r w:rsidRPr="005F4ECF">
        <w:t>和矩形</w:t>
      </w:r>
      <w:r>
        <w:rPr>
          <w:rFonts w:hint="eastAsia"/>
        </w:rPr>
        <w:t>。</w:t>
      </w:r>
    </w:p>
    <w:p w14:paraId="483BF424" w14:textId="17EE7E79" w:rsidR="005F4ECF" w:rsidRDefault="00880AAE">
      <w:r>
        <w:tab/>
      </w:r>
      <w:r w:rsidRPr="00880AAE">
        <w:rPr>
          <w:rFonts w:hint="eastAsia"/>
        </w:rPr>
        <w:t>该模型支持漫反射和镜面反射。</w:t>
      </w:r>
      <w:r>
        <w:rPr>
          <w:rFonts w:hint="eastAsia"/>
        </w:rPr>
        <w:t>《</w:t>
      </w:r>
      <w:r w:rsidRPr="005F4ECF">
        <w:rPr>
          <w:rFonts w:hint="eastAsia"/>
        </w:rPr>
        <w:t>杀戮地带：暗影坠落</w:t>
      </w:r>
      <w:r>
        <w:rPr>
          <w:rFonts w:hint="eastAsia"/>
        </w:rPr>
        <w:t>》</w:t>
      </w:r>
      <w:r w:rsidRPr="00880AAE">
        <w:t>渲染引擎中的BRDF（双向反射分布函数）实现明确地将材料反射模型与照明模型本身分开。这允许在不同的表面模拟算法和光类型之间进行分离，这为前者提供所需的光量。为了实现这一点，我们使用重要性采样原理来近似BRDF的材料反射部分中的非有限或计算上昂贵的积分。本章仅关注拟议框架和实际光建模部分的推导。</w:t>
      </w:r>
    </w:p>
    <w:p w14:paraId="3376B37C" w14:textId="4A7811A8" w:rsidR="00880AAE" w:rsidRDefault="00880AAE">
      <w:r>
        <w:tab/>
      </w:r>
      <w:r w:rsidRPr="00880AAE">
        <w:rPr>
          <w:rFonts w:hint="eastAsia"/>
        </w:rPr>
        <w:t>渲染引擎中的所有灯都是基于物理的区域灯，由辐射量描述，例如流明的光强度，米的尺寸，世界方向和光的形状类型。</w:t>
      </w:r>
      <w:r w:rsidRPr="00880AAE">
        <w:t>我们引入了表面粗糙度的专门描述，这些描述可以共享或调整以匹配各种表面反射模型。灯光模型使用光线描述和表面粗糙度，在</w:t>
      </w:r>
      <w:r w:rsidR="003914CA">
        <w:rPr>
          <w:rFonts w:hint="eastAsia"/>
        </w:rPr>
        <w:t>着色点</w:t>
      </w:r>
      <w:r w:rsidRPr="00880AAE">
        <w:t>处，提供光量到达光模型和表面反射模型之间的点分割。</w:t>
      </w:r>
    </w:p>
    <w:p w14:paraId="7B4A38AA" w14:textId="76198561" w:rsidR="003914CA" w:rsidRDefault="003914CA">
      <w:r>
        <w:tab/>
      </w:r>
      <w:r w:rsidRPr="003914CA">
        <w:rPr>
          <w:rFonts w:hint="eastAsia"/>
        </w:rPr>
        <w:t>此外，我们讨论了将所提出的模型集成到延迟渲染器中以及如何将其用作环境探测器生成和基于动态分析纹理的区域光源的原理。</w:t>
      </w:r>
    </w:p>
    <w:p w14:paraId="4C1ED785" w14:textId="571091AC" w:rsidR="003914CA" w:rsidRDefault="003914CA">
      <w:r>
        <w:rPr>
          <w:noProof/>
        </w:rPr>
        <w:drawing>
          <wp:inline distT="0" distB="0" distL="0" distR="0" wp14:anchorId="7B69FF7A" wp14:editId="6AE46556">
            <wp:extent cx="5274310" cy="3302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02635"/>
                    </a:xfrm>
                    <a:prstGeom prst="rect">
                      <a:avLst/>
                    </a:prstGeom>
                  </pic:spPr>
                </pic:pic>
              </a:graphicData>
            </a:graphic>
          </wp:inline>
        </w:drawing>
      </w:r>
    </w:p>
    <w:p w14:paraId="31B15006" w14:textId="12B1FD9E" w:rsidR="003914CA" w:rsidRDefault="003914CA"/>
    <w:p w14:paraId="515B515E" w14:textId="3F570A4E" w:rsidR="003914CA" w:rsidRDefault="003914CA">
      <w:r>
        <w:rPr>
          <w:rFonts w:hint="eastAsia"/>
        </w:rPr>
        <w:t>1.2</w:t>
      </w:r>
      <w:r>
        <w:t xml:space="preserve"> </w:t>
      </w:r>
      <w:r>
        <w:rPr>
          <w:rFonts w:hint="eastAsia"/>
        </w:rPr>
        <w:t>介绍</w:t>
      </w:r>
    </w:p>
    <w:p w14:paraId="0933377E" w14:textId="51F30865" w:rsidR="003914CA" w:rsidRDefault="003914CA">
      <w:r>
        <w:tab/>
      </w:r>
      <w:r w:rsidRPr="003914CA">
        <w:rPr>
          <w:rFonts w:hint="eastAsia"/>
        </w:rPr>
        <w:t>目前游戏行业的照明模型标准是</w:t>
      </w:r>
      <w:r w:rsidRPr="003914CA">
        <w:t>Blinn -</w:t>
      </w:r>
      <w:proofErr w:type="spellStart"/>
      <w:r w:rsidRPr="003914CA">
        <w:t>Phong</w:t>
      </w:r>
      <w:proofErr w:type="spellEnd"/>
      <w:r w:rsidRPr="003914CA">
        <w:t xml:space="preserve"> BRDF或直接基于它的模型。近年来，我们已经看到多种进展扩展了模型，以支持更多种材料，表面特性和基于物理的特性[McAuley等13]或解决混淆问题的方法[Baker和Hill 12]。这种技术推动的结果是广泛使用高效，可预测，众所周知的照明模型，能够捕捉我们在常见情况下可能观察到的大多数材料特性。大多数研究都集中在改进材料相互作用，包括Cook-Torrance照明模型[Cook和Torrance 81]中提出的众所周知的几何和菲涅耳项。但是，模型</w:t>
      </w:r>
      <w:r w:rsidRPr="003914CA">
        <w:rPr>
          <w:rFonts w:hint="eastAsia"/>
        </w:rPr>
        <w:t>的一个非常基本的约束仍然存在，因为它只能模拟基于点的灯。在几乎</w:t>
      </w:r>
      <w:r w:rsidR="00A96ABB">
        <w:rPr>
          <w:rFonts w:hint="eastAsia"/>
        </w:rPr>
        <w:t>所有</w:t>
      </w:r>
      <w:r w:rsidRPr="003914CA">
        <w:rPr>
          <w:rFonts w:hint="eastAsia"/>
        </w:rPr>
        <w:t>情况下，光源都具有物理尺寸，在现实生活中，它通过正确反射和漫反射光响应的正确形状来反映。在许多情况下使用</w:t>
      </w:r>
      <w:r w:rsidRPr="003914CA">
        <w:t>Blinn-</w:t>
      </w:r>
      <w:proofErr w:type="spellStart"/>
      <w:r w:rsidRPr="003914CA">
        <w:t>Phong</w:t>
      </w:r>
      <w:proofErr w:type="spellEnd"/>
      <w:r w:rsidRPr="003914CA">
        <w:t>点光源进行动态光照证明不足，在场景中的可见光和照明结果之间产生视觉上的不相交（见图1.2和1.3）。</w:t>
      </w:r>
    </w:p>
    <w:p w14:paraId="43E85ADC" w14:textId="006288B3" w:rsidR="003914CA" w:rsidRDefault="00A96ABB">
      <w:r>
        <w:rPr>
          <w:noProof/>
        </w:rPr>
        <w:lastRenderedPageBreak/>
        <w:drawing>
          <wp:inline distT="0" distB="0" distL="0" distR="0" wp14:anchorId="657DCE15" wp14:editId="12B72231">
            <wp:extent cx="5274310" cy="29108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10840"/>
                    </a:xfrm>
                    <a:prstGeom prst="rect">
                      <a:avLst/>
                    </a:prstGeom>
                  </pic:spPr>
                </pic:pic>
              </a:graphicData>
            </a:graphic>
          </wp:inline>
        </w:drawing>
      </w:r>
    </w:p>
    <w:p w14:paraId="5F22F0E6" w14:textId="77777777" w:rsidR="00A96ABB" w:rsidRDefault="00A96ABB"/>
    <w:p w14:paraId="30C250FF" w14:textId="67F1E04D" w:rsidR="00A96ABB" w:rsidRDefault="00A96ABB">
      <w:r>
        <w:tab/>
      </w:r>
      <w:r w:rsidRPr="00A96ABB">
        <w:rPr>
          <w:rFonts w:hint="eastAsia"/>
        </w:rPr>
        <w:t>有几种方法可以解决这个问题。</w:t>
      </w:r>
      <w:r w:rsidRPr="00A96ABB">
        <w:t>其中一些包括预先计算“光卡”或广告牌反射，并在运行时对它们进行光线跟踪，以模拟准确的镜面反射[</w:t>
      </w:r>
      <w:proofErr w:type="spellStart"/>
      <w:r w:rsidRPr="00A96ABB">
        <w:t>Mittring</w:t>
      </w:r>
      <w:proofErr w:type="spellEnd"/>
      <w:r w:rsidRPr="00A96ABB">
        <w:t>和</w:t>
      </w:r>
      <w:proofErr w:type="spellStart"/>
      <w:r w:rsidRPr="00A96ABB">
        <w:t>Dudash</w:t>
      </w:r>
      <w:proofErr w:type="spellEnd"/>
      <w:r w:rsidRPr="00A96ABB">
        <w:t xml:space="preserve"> 11]。不幸的是，这个系统是基于点的标准分析动态照明的补充。而且，它没有为基于区域的漫射照明提供解决方案。</w:t>
      </w:r>
    </w:p>
    <w:p w14:paraId="4536E022" w14:textId="458DE27F" w:rsidR="00A96ABB" w:rsidRDefault="00A96ABB">
      <w:r>
        <w:tab/>
      </w:r>
      <w:r w:rsidRPr="00A96ABB">
        <w:rPr>
          <w:rFonts w:hint="eastAsia"/>
        </w:rPr>
        <w:t>解决该问题的另一种方法涉及切换到基于全局照明的解决方案。</w:t>
      </w:r>
      <w:r w:rsidRPr="00A96ABB">
        <w:t xml:space="preserve"> 已经在商用发动机中实施了几个系统，主要是基于体素的[</w:t>
      </w:r>
      <w:proofErr w:type="spellStart"/>
      <w:r w:rsidRPr="00A96ABB">
        <w:t>Mittring</w:t>
      </w:r>
      <w:proofErr w:type="spellEnd"/>
      <w:r w:rsidRPr="00A96ABB">
        <w:t xml:space="preserve"> 12]; 然而，由于稳定性，分辨率或质量差异，它们不能完全替代分析灯。</w:t>
      </w:r>
    </w:p>
    <w:p w14:paraId="6F36F202" w14:textId="14689C3D" w:rsidR="00A96ABB" w:rsidRDefault="00A96ABB">
      <w:r>
        <w:tab/>
      </w:r>
      <w:r w:rsidRPr="00A96ABB">
        <w:rPr>
          <w:rFonts w:hint="eastAsia"/>
        </w:rPr>
        <w:t>在我们</w:t>
      </w:r>
      <w:r w:rsidR="008C30E5">
        <w:rPr>
          <w:rFonts w:hint="eastAsia"/>
        </w:rPr>
        <w:t>研究</w:t>
      </w:r>
      <w:r w:rsidRPr="00A96ABB">
        <w:t>Killzone引擎</w:t>
      </w:r>
      <w:r w:rsidR="008C30E5">
        <w:rPr>
          <w:rFonts w:hint="eastAsia"/>
        </w:rPr>
        <w:t>用于下一代主机平台的新迭代</w:t>
      </w:r>
      <w:r w:rsidRPr="00A96ABB">
        <w:t>时，我们希望利用有关照明模型的知识并将其扩展到涵盖非基于点的</w:t>
      </w:r>
      <w:r w:rsidR="008C30E5">
        <w:rPr>
          <w:rFonts w:hint="eastAsia"/>
        </w:rPr>
        <w:t>光源</w:t>
      </w:r>
      <w:r w:rsidRPr="00A96ABB">
        <w:t>。处理艺术创作的统一方式也是我们的首要任务。 随着我们向基于物理的材料建模的过渡，我们还希望使用真实的辐射量来获得基于物理的灯光，从而实现可预测的</w:t>
      </w:r>
      <w:r w:rsidR="008C30E5">
        <w:rPr>
          <w:rFonts w:hint="eastAsia"/>
        </w:rPr>
        <w:t>着色</w:t>
      </w:r>
      <w:r w:rsidRPr="00A96ABB">
        <w:t>模型。</w:t>
      </w:r>
    </w:p>
    <w:p w14:paraId="0C3E983F" w14:textId="018C1A88" w:rsidR="008C30E5" w:rsidRDefault="00F27CF5">
      <w:r>
        <w:tab/>
      </w:r>
      <w:r w:rsidRPr="00F27CF5">
        <w:rPr>
          <w:rFonts w:hint="eastAsia"/>
        </w:rPr>
        <w:t>我们决定利用现有的</w:t>
      </w:r>
      <w:r w:rsidRPr="00F27CF5">
        <w:t>BRDF来模拟表面对光的反应，并重新构建</w:t>
      </w:r>
      <w:r>
        <w:rPr>
          <w:rFonts w:hint="eastAsia"/>
        </w:rPr>
        <w:t>为模型提供照明信息的方式</w:t>
      </w:r>
      <w:r w:rsidRPr="00F27CF5">
        <w:t>。标准BRDF假设光从一个方向进入，强度给定为每光设定量。当处理区域</w:t>
      </w:r>
      <w:r>
        <w:rPr>
          <w:rFonts w:hint="eastAsia"/>
        </w:rPr>
        <w:t>光</w:t>
      </w:r>
      <w:r w:rsidRPr="00F27CF5">
        <w:t>源时，我们必须在光形状的所有点上解决照明模型的积分。 这可以通过</w:t>
      </w:r>
      <w:r>
        <w:rPr>
          <w:rFonts w:hint="eastAsia"/>
        </w:rPr>
        <w:t>数值</w:t>
      </w:r>
      <w:r w:rsidRPr="00F27CF5">
        <w:t>方式实现，但不幸的是，这在实时应用程序中证明是不可行的。然而，可以使用辐射积分来分析地计算该积分的一部分，而其余部分可以被有效地近似。</w:t>
      </w:r>
    </w:p>
    <w:p w14:paraId="76E27772" w14:textId="690D386A" w:rsidR="00F27CF5" w:rsidRDefault="00F27CF5"/>
    <w:p w14:paraId="3B3A2462" w14:textId="6C55497E" w:rsidR="00F27CF5" w:rsidRDefault="00F27CF5">
      <w:r>
        <w:rPr>
          <w:rFonts w:hint="eastAsia"/>
        </w:rPr>
        <w:t>1.3</w:t>
      </w:r>
      <w:r>
        <w:t xml:space="preserve"> </w:t>
      </w:r>
      <w:r>
        <w:rPr>
          <w:rFonts w:hint="eastAsia"/>
        </w:rPr>
        <w:t>区域光源模型</w:t>
      </w:r>
    </w:p>
    <w:p w14:paraId="1EF15213" w14:textId="2288D9AB" w:rsidR="00F27CF5" w:rsidRDefault="00F27CF5">
      <w:r>
        <w:rPr>
          <w:rFonts w:hint="eastAsia"/>
        </w:rPr>
        <w:t>1.3.1</w:t>
      </w:r>
      <w:r>
        <w:t xml:space="preserve"> </w:t>
      </w:r>
      <w:r>
        <w:rPr>
          <w:rFonts w:hint="eastAsia"/>
        </w:rPr>
        <w:t>辐射积分和BRDF定义</w:t>
      </w:r>
    </w:p>
    <w:p w14:paraId="77133B1A" w14:textId="77777777" w:rsidR="00F27CF5" w:rsidRPr="00F27CF5" w:rsidRDefault="00F27CF5">
      <w:pPr>
        <w:rPr>
          <w:rFonts w:hint="eastAsia"/>
        </w:rPr>
      </w:pPr>
      <w:bookmarkStart w:id="0" w:name="_GoBack"/>
      <w:bookmarkEnd w:id="0"/>
    </w:p>
    <w:sectPr w:rsidR="00F27CF5" w:rsidRPr="00F27C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1C0FB" w14:textId="77777777" w:rsidR="00DC28D4" w:rsidRDefault="00DC28D4" w:rsidP="00F27CF5">
      <w:r>
        <w:separator/>
      </w:r>
    </w:p>
  </w:endnote>
  <w:endnote w:type="continuationSeparator" w:id="0">
    <w:p w14:paraId="29CD3562" w14:textId="77777777" w:rsidR="00DC28D4" w:rsidRDefault="00DC28D4" w:rsidP="00F27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63DE8" w14:textId="77777777" w:rsidR="00DC28D4" w:rsidRDefault="00DC28D4" w:rsidP="00F27CF5">
      <w:r>
        <w:separator/>
      </w:r>
    </w:p>
  </w:footnote>
  <w:footnote w:type="continuationSeparator" w:id="0">
    <w:p w14:paraId="3C36A108" w14:textId="77777777" w:rsidR="00DC28D4" w:rsidRDefault="00DC28D4" w:rsidP="00F27C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B5B"/>
    <w:rsid w:val="003914CA"/>
    <w:rsid w:val="005F4ECF"/>
    <w:rsid w:val="00767B5B"/>
    <w:rsid w:val="00880AAE"/>
    <w:rsid w:val="008C30E5"/>
    <w:rsid w:val="00A96ABB"/>
    <w:rsid w:val="00DC28D4"/>
    <w:rsid w:val="00F27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7305"/>
  <w15:chartTrackingRefBased/>
  <w15:docId w15:val="{856CE95B-26EF-4FF7-BF23-48A5BD91C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4ECF"/>
    <w:pPr>
      <w:ind w:firstLineChars="200" w:firstLine="420"/>
    </w:pPr>
  </w:style>
  <w:style w:type="paragraph" w:styleId="a4">
    <w:name w:val="header"/>
    <w:basedOn w:val="a"/>
    <w:link w:val="a5"/>
    <w:uiPriority w:val="99"/>
    <w:unhideWhenUsed/>
    <w:rsid w:val="00F27CF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27CF5"/>
    <w:rPr>
      <w:sz w:val="18"/>
      <w:szCs w:val="18"/>
    </w:rPr>
  </w:style>
  <w:style w:type="paragraph" w:styleId="a6">
    <w:name w:val="footer"/>
    <w:basedOn w:val="a"/>
    <w:link w:val="a7"/>
    <w:uiPriority w:val="99"/>
    <w:unhideWhenUsed/>
    <w:rsid w:val="00F27CF5"/>
    <w:pPr>
      <w:tabs>
        <w:tab w:val="center" w:pos="4153"/>
        <w:tab w:val="right" w:pos="8306"/>
      </w:tabs>
      <w:snapToGrid w:val="0"/>
      <w:jc w:val="left"/>
    </w:pPr>
    <w:rPr>
      <w:sz w:val="18"/>
      <w:szCs w:val="18"/>
    </w:rPr>
  </w:style>
  <w:style w:type="character" w:customStyle="1" w:styleId="a7">
    <w:name w:val="页脚 字符"/>
    <w:basedOn w:val="a0"/>
    <w:link w:val="a6"/>
    <w:uiPriority w:val="99"/>
    <w:rsid w:val="00F27C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228</Words>
  <Characters>1300</Characters>
  <Application>Microsoft Office Word</Application>
  <DocSecurity>0</DocSecurity>
  <Lines>10</Lines>
  <Paragraphs>3</Paragraphs>
  <ScaleCrop>false</ScaleCrop>
  <Company/>
  <LinksUpToDate>false</LinksUpToDate>
  <CharactersWithSpaces>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5</cp:revision>
  <dcterms:created xsi:type="dcterms:W3CDTF">2019-07-08T08:44:00Z</dcterms:created>
  <dcterms:modified xsi:type="dcterms:W3CDTF">2019-07-09T04:50:00Z</dcterms:modified>
</cp:coreProperties>
</file>