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70A32" w14:textId="56CD30BD" w:rsidR="008E0B0E" w:rsidRDefault="00540107">
      <w:pPr>
        <w:rPr>
          <w:rFonts w:ascii="宋体" w:eastAsia="宋体" w:hAnsi="宋体"/>
          <w:sz w:val="20"/>
          <w:szCs w:val="20"/>
        </w:rPr>
      </w:pPr>
      <w:r>
        <w:rPr>
          <w:rFonts w:ascii="宋体" w:eastAsia="宋体" w:hAnsi="宋体"/>
          <w:sz w:val="20"/>
          <w:szCs w:val="20"/>
        </w:rPr>
        <w:tab/>
      </w:r>
      <w:r w:rsidRPr="00540107">
        <w:rPr>
          <w:rFonts w:ascii="宋体" w:eastAsia="宋体" w:hAnsi="宋体" w:hint="eastAsia"/>
          <w:sz w:val="20"/>
          <w:szCs w:val="20"/>
        </w:rPr>
        <w:t>本章将前几章的光线跟踪算法</w:t>
      </w:r>
      <w:r>
        <w:rPr>
          <w:rFonts w:ascii="宋体" w:eastAsia="宋体" w:hAnsi="宋体" w:hint="eastAsia"/>
          <w:sz w:val="20"/>
          <w:szCs w:val="20"/>
        </w:rPr>
        <w:t>,</w:t>
      </w:r>
      <w:r w:rsidRPr="00540107">
        <w:rPr>
          <w:rFonts w:ascii="宋体" w:eastAsia="宋体" w:hAnsi="宋体" w:hint="eastAsia"/>
          <w:sz w:val="20"/>
          <w:szCs w:val="20"/>
        </w:rPr>
        <w:t>辐射概念和蒙特卡洛采样算法组合在一起</w:t>
      </w:r>
      <w:r>
        <w:rPr>
          <w:rFonts w:ascii="宋体" w:eastAsia="宋体" w:hAnsi="宋体" w:hint="eastAsia"/>
          <w:sz w:val="20"/>
          <w:szCs w:val="20"/>
        </w:rPr>
        <w:t>,</w:t>
      </w:r>
      <w:r w:rsidRPr="00540107">
        <w:rPr>
          <w:rFonts w:ascii="宋体" w:eastAsia="宋体" w:hAnsi="宋体" w:hint="eastAsia"/>
          <w:sz w:val="20"/>
          <w:szCs w:val="20"/>
        </w:rPr>
        <w:t>以实现两个不同的积分器</w:t>
      </w:r>
      <w:r>
        <w:rPr>
          <w:rFonts w:ascii="宋体" w:eastAsia="宋体" w:hAnsi="宋体" w:hint="eastAsia"/>
          <w:sz w:val="20"/>
          <w:szCs w:val="20"/>
        </w:rPr>
        <w:t>,</w:t>
      </w:r>
      <w:r w:rsidRPr="00540107">
        <w:rPr>
          <w:rFonts w:ascii="宋体" w:eastAsia="宋体" w:hAnsi="宋体" w:hint="eastAsia"/>
          <w:sz w:val="20"/>
          <w:szCs w:val="20"/>
        </w:rPr>
        <w:t>这些积分器可以计算场景中表面的散射辐射</w:t>
      </w:r>
      <w:r>
        <w:rPr>
          <w:rFonts w:ascii="宋体" w:eastAsia="宋体" w:hAnsi="宋体" w:hint="eastAsia"/>
          <w:sz w:val="20"/>
          <w:szCs w:val="20"/>
        </w:rPr>
        <w:t>.</w:t>
      </w:r>
      <w:r w:rsidRPr="00540107">
        <w:rPr>
          <w:rFonts w:ascii="宋体" w:eastAsia="宋体" w:hAnsi="宋体"/>
          <w:sz w:val="20"/>
          <w:szCs w:val="20"/>
        </w:rPr>
        <w:t>之所以命名积分器</w:t>
      </w:r>
      <w:r>
        <w:rPr>
          <w:rFonts w:ascii="宋体" w:eastAsia="宋体" w:hAnsi="宋体" w:hint="eastAsia"/>
          <w:sz w:val="20"/>
          <w:szCs w:val="20"/>
        </w:rPr>
        <w:t>,</w:t>
      </w:r>
      <w:r w:rsidRPr="00540107">
        <w:rPr>
          <w:rFonts w:ascii="宋体" w:eastAsia="宋体" w:hAnsi="宋体"/>
          <w:sz w:val="20"/>
          <w:szCs w:val="20"/>
        </w:rPr>
        <w:t>是因为积分器负责评估描述环境中辐射的平衡分布的积分方程</w:t>
      </w:r>
      <w:r>
        <w:rPr>
          <w:rFonts w:ascii="宋体" w:eastAsia="宋体" w:hAnsi="宋体" w:hint="eastAsia"/>
          <w:sz w:val="20"/>
          <w:szCs w:val="20"/>
        </w:rPr>
        <w:t>(</w:t>
      </w:r>
      <w:r w:rsidRPr="00540107">
        <w:rPr>
          <w:rFonts w:ascii="宋体" w:eastAsia="宋体" w:hAnsi="宋体"/>
          <w:sz w:val="20"/>
          <w:szCs w:val="20"/>
        </w:rPr>
        <w:t>光传输方程</w:t>
      </w:r>
      <w:r>
        <w:rPr>
          <w:rFonts w:ascii="宋体" w:eastAsia="宋体" w:hAnsi="宋体" w:hint="eastAsia"/>
          <w:sz w:val="20"/>
          <w:szCs w:val="20"/>
        </w:rPr>
        <w:t>).</w:t>
      </w:r>
    </w:p>
    <w:p w14:paraId="18D3B262" w14:textId="4FC7CDBF" w:rsidR="00540107" w:rsidRDefault="001D6883">
      <w:pPr>
        <w:rPr>
          <w:rFonts w:ascii="宋体" w:eastAsia="宋体" w:hAnsi="宋体"/>
          <w:sz w:val="20"/>
          <w:szCs w:val="20"/>
        </w:rPr>
      </w:pPr>
      <w:r>
        <w:rPr>
          <w:rFonts w:ascii="宋体" w:eastAsia="宋体" w:hAnsi="宋体"/>
          <w:sz w:val="20"/>
          <w:szCs w:val="20"/>
        </w:rPr>
        <w:tab/>
      </w:r>
      <w:r w:rsidRPr="001D6883">
        <w:rPr>
          <w:rFonts w:ascii="宋体" w:eastAsia="宋体" w:hAnsi="宋体" w:hint="eastAsia"/>
          <w:sz w:val="20"/>
          <w:szCs w:val="20"/>
        </w:rPr>
        <w:t>回顾第</w:t>
      </w:r>
      <w:r w:rsidRPr="001D6883">
        <w:rPr>
          <w:rFonts w:ascii="宋体" w:eastAsia="宋体" w:hAnsi="宋体"/>
          <w:sz w:val="20"/>
          <w:szCs w:val="20"/>
        </w:rPr>
        <w:t>5.6.1节中的散射方程</w:t>
      </w:r>
      <w:r>
        <w:rPr>
          <w:rFonts w:ascii="宋体" w:eastAsia="宋体" w:hAnsi="宋体"/>
          <w:sz w:val="20"/>
          <w:szCs w:val="20"/>
        </w:rPr>
        <w:t>;</w:t>
      </w:r>
      <w:r w:rsidRPr="001D6883">
        <w:rPr>
          <w:rFonts w:ascii="宋体" w:eastAsia="宋体" w:hAnsi="宋体"/>
          <w:sz w:val="20"/>
          <w:szCs w:val="20"/>
        </w:rPr>
        <w:t>它的价值可以用蒙特卡洛估算</w:t>
      </w:r>
      <w:r>
        <w:rPr>
          <w:rFonts w:ascii="宋体" w:eastAsia="宋体" w:hAnsi="宋体" w:hint="eastAsia"/>
          <w:sz w:val="20"/>
          <w:szCs w:val="20"/>
        </w:rPr>
        <w:t>:</w:t>
      </w:r>
    </w:p>
    <w:p w14:paraId="3F2CEB1C" w14:textId="1F2E287C" w:rsidR="001D6883" w:rsidRPr="00CE48DF" w:rsidRDefault="000B338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j</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j</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j</m:t>
                              </m:r>
                            </m:sub>
                          </m:sSub>
                        </m:e>
                      </m:func>
                    </m:e>
                  </m:d>
                </m:num>
                <m:den>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j</m:t>
                          </m:r>
                        </m:sub>
                      </m:sSub>
                    </m:e>
                  </m:d>
                </m:den>
              </m:f>
            </m:e>
          </m:nary>
          <m:r>
            <w:rPr>
              <w:rFonts w:ascii="Cambria Math" w:eastAsia="宋体" w:hAnsi="Cambria Math"/>
              <w:sz w:val="20"/>
              <w:szCs w:val="20"/>
            </w:rPr>
            <m:t>,</m:t>
          </m:r>
        </m:oMath>
      </m:oMathPara>
    </w:p>
    <w:p w14:paraId="48D3F0D1" w14:textId="49AB7663" w:rsidR="00CE48DF" w:rsidRPr="00CE48DF" w:rsidRDefault="00CE48DF">
      <w:pPr>
        <w:rPr>
          <w:rFonts w:ascii="宋体" w:eastAsia="宋体" w:hAnsi="宋体" w:hint="eastAsia"/>
          <w:sz w:val="20"/>
          <w:szCs w:val="20"/>
        </w:rPr>
      </w:pPr>
      <w:r w:rsidRPr="00CE48DF">
        <w:rPr>
          <w:rFonts w:ascii="宋体" w:eastAsia="宋体" w:hAnsi="宋体" w:hint="eastAsia"/>
          <w:sz w:val="20"/>
          <w:szCs w:val="20"/>
        </w:rPr>
        <w:t>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j</m:t>
            </m:r>
          </m:sub>
        </m:sSub>
      </m:oMath>
      <w:r w:rsidRPr="00CE48DF">
        <w:rPr>
          <w:rFonts w:ascii="宋体" w:eastAsia="宋体" w:hAnsi="宋体"/>
          <w:sz w:val="20"/>
          <w:szCs w:val="20"/>
        </w:rPr>
        <w:t xml:space="preserve">从具有PDF </w:t>
      </w:r>
      <m:oMath>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j</m:t>
                </m:r>
              </m:sub>
            </m:sSub>
          </m:e>
        </m:d>
      </m:oMath>
      <w:r w:rsidRPr="00CE48DF">
        <w:rPr>
          <w:rFonts w:ascii="宋体" w:eastAsia="宋体" w:hAnsi="宋体"/>
          <w:sz w:val="20"/>
          <w:szCs w:val="20"/>
        </w:rPr>
        <w:t>的立体角分布中采样</w:t>
      </w:r>
      <w:r w:rsidR="00777ADA">
        <w:rPr>
          <w:rFonts w:ascii="宋体" w:eastAsia="宋体" w:hAnsi="宋体" w:hint="eastAsia"/>
          <w:sz w:val="20"/>
          <w:szCs w:val="20"/>
        </w:rPr>
        <w:t>.</w:t>
      </w:r>
      <w:r w:rsidRPr="00CE48DF">
        <w:rPr>
          <w:rFonts w:ascii="宋体" w:eastAsia="宋体" w:hAnsi="宋体"/>
          <w:sz w:val="20"/>
          <w:szCs w:val="20"/>
        </w:rPr>
        <w:t>实际上</w:t>
      </w:r>
      <w:r w:rsidR="00777ADA">
        <w:rPr>
          <w:rFonts w:ascii="宋体" w:eastAsia="宋体" w:hAnsi="宋体" w:hint="eastAsia"/>
          <w:sz w:val="20"/>
          <w:szCs w:val="20"/>
        </w:rPr>
        <w:t>,</w:t>
      </w:r>
      <w:r w:rsidRPr="00CE48DF">
        <w:rPr>
          <w:rFonts w:ascii="宋体" w:eastAsia="宋体" w:hAnsi="宋体"/>
          <w:sz w:val="20"/>
          <w:szCs w:val="20"/>
        </w:rPr>
        <w:t>我们希望从近似BSDF的分布中抽取一些样本</w:t>
      </w:r>
      <w:r w:rsidR="00777ADA">
        <w:rPr>
          <w:rFonts w:ascii="宋体" w:eastAsia="宋体" w:hAnsi="宋体" w:hint="eastAsia"/>
          <w:sz w:val="20"/>
          <w:szCs w:val="20"/>
        </w:rPr>
        <w:t>,</w:t>
      </w:r>
      <w:r w:rsidRPr="00CE48DF">
        <w:rPr>
          <w:rFonts w:ascii="宋体" w:eastAsia="宋体" w:hAnsi="宋体"/>
          <w:sz w:val="20"/>
          <w:szCs w:val="20"/>
        </w:rPr>
        <w:t>从近似光源的入射辐射的分布中抽取一些样本</w:t>
      </w:r>
      <w:r w:rsidR="00777ADA">
        <w:rPr>
          <w:rFonts w:ascii="宋体" w:eastAsia="宋体" w:hAnsi="宋体" w:hint="eastAsia"/>
          <w:sz w:val="20"/>
          <w:szCs w:val="20"/>
        </w:rPr>
        <w:t>,</w:t>
      </w:r>
      <w:r w:rsidRPr="00CE48DF">
        <w:rPr>
          <w:rFonts w:ascii="宋体" w:eastAsia="宋体" w:hAnsi="宋体"/>
          <w:sz w:val="20"/>
          <w:szCs w:val="20"/>
        </w:rPr>
        <w:t>然后对样本进行多重重要性加权</w:t>
      </w:r>
      <w:r w:rsidR="00777ADA">
        <w:rPr>
          <w:rFonts w:ascii="宋体" w:eastAsia="宋体" w:hAnsi="宋体" w:hint="eastAsia"/>
          <w:sz w:val="20"/>
          <w:szCs w:val="20"/>
        </w:rPr>
        <w:t>.</w:t>
      </w:r>
    </w:p>
    <w:p w14:paraId="0B0C1D28" w14:textId="60C952BD" w:rsidR="00CE48DF" w:rsidRDefault="00777ADA">
      <w:pPr>
        <w:rPr>
          <w:rFonts w:ascii="宋体" w:eastAsia="宋体" w:hAnsi="宋体"/>
          <w:sz w:val="20"/>
          <w:szCs w:val="20"/>
        </w:rPr>
      </w:pPr>
      <w:r>
        <w:rPr>
          <w:rFonts w:ascii="宋体" w:eastAsia="宋体" w:hAnsi="宋体"/>
          <w:sz w:val="20"/>
          <w:szCs w:val="20"/>
        </w:rPr>
        <w:tab/>
      </w:r>
      <w:r w:rsidRPr="00777ADA">
        <w:rPr>
          <w:rFonts w:ascii="宋体" w:eastAsia="宋体" w:hAnsi="宋体" w:hint="eastAsia"/>
          <w:sz w:val="20"/>
          <w:szCs w:val="20"/>
        </w:rPr>
        <w:t>接下来的两个部分介绍了从</w:t>
      </w:r>
      <w:r w:rsidRPr="00777ADA">
        <w:rPr>
          <w:rFonts w:ascii="宋体" w:eastAsia="宋体" w:hAnsi="宋体"/>
          <w:sz w:val="20"/>
          <w:szCs w:val="20"/>
        </w:rPr>
        <w:t>BSDF和光源进行采样的方法</w:t>
      </w:r>
      <w:r>
        <w:rPr>
          <w:rFonts w:ascii="宋体" w:eastAsia="宋体" w:hAnsi="宋体" w:hint="eastAsia"/>
          <w:sz w:val="20"/>
          <w:szCs w:val="20"/>
        </w:rPr>
        <w:t>.</w:t>
      </w:r>
      <w:r w:rsidRPr="00777ADA">
        <w:rPr>
          <w:rFonts w:ascii="宋体" w:eastAsia="宋体" w:hAnsi="宋体"/>
          <w:sz w:val="20"/>
          <w:szCs w:val="20"/>
        </w:rPr>
        <w:t>在定义了这些采样方法之后</w:t>
      </w:r>
      <w:r>
        <w:rPr>
          <w:rFonts w:ascii="宋体" w:eastAsia="宋体" w:hAnsi="宋体" w:hint="eastAsia"/>
          <w:sz w:val="20"/>
          <w:szCs w:val="20"/>
        </w:rPr>
        <w:t>,</w:t>
      </w:r>
      <w:r w:rsidRPr="00777ADA">
        <w:rPr>
          <w:rFonts w:ascii="宋体" w:eastAsia="宋体" w:hAnsi="宋体"/>
          <w:sz w:val="20"/>
          <w:szCs w:val="20"/>
        </w:rPr>
        <w:t>将介绍</w:t>
      </w:r>
      <w:proofErr w:type="spellStart"/>
      <w:r w:rsidRPr="00777ADA">
        <w:rPr>
          <w:rFonts w:ascii="宋体" w:eastAsia="宋体" w:hAnsi="宋体"/>
          <w:sz w:val="20"/>
          <w:szCs w:val="20"/>
        </w:rPr>
        <w:t>DirectLightingIntegrator</w:t>
      </w:r>
      <w:proofErr w:type="spellEnd"/>
      <w:r w:rsidRPr="00777ADA">
        <w:rPr>
          <w:rFonts w:ascii="宋体" w:eastAsia="宋体" w:hAnsi="宋体"/>
          <w:sz w:val="20"/>
          <w:szCs w:val="20"/>
        </w:rPr>
        <w:t>和</w:t>
      </w:r>
      <w:proofErr w:type="spellStart"/>
      <w:r w:rsidRPr="00777ADA">
        <w:rPr>
          <w:rFonts w:ascii="宋体" w:eastAsia="宋体" w:hAnsi="宋体"/>
          <w:sz w:val="20"/>
          <w:szCs w:val="20"/>
        </w:rPr>
        <w:t>PathIntegrator</w:t>
      </w:r>
      <w:proofErr w:type="spellEnd"/>
      <w:r>
        <w:rPr>
          <w:rFonts w:ascii="宋体" w:eastAsia="宋体" w:hAnsi="宋体" w:hint="eastAsia"/>
          <w:sz w:val="20"/>
          <w:szCs w:val="20"/>
        </w:rPr>
        <w:t>.</w:t>
      </w:r>
      <w:r w:rsidRPr="00777ADA">
        <w:rPr>
          <w:rFonts w:ascii="宋体" w:eastAsia="宋体" w:hAnsi="宋体"/>
          <w:sz w:val="20"/>
          <w:szCs w:val="20"/>
        </w:rPr>
        <w:t>两者都找到了从相机开始的载光路径</w:t>
      </w:r>
      <w:r>
        <w:rPr>
          <w:rFonts w:ascii="宋体" w:eastAsia="宋体" w:hAnsi="宋体" w:hint="eastAsia"/>
          <w:sz w:val="20"/>
          <w:szCs w:val="20"/>
        </w:rPr>
        <w:t>,</w:t>
      </w:r>
      <w:r w:rsidRPr="00777ADA">
        <w:rPr>
          <w:rFonts w:ascii="宋体" w:eastAsia="宋体" w:hAnsi="宋体"/>
          <w:sz w:val="20"/>
          <w:szCs w:val="20"/>
        </w:rPr>
        <w:t>这说明了形状表面的散射</w:t>
      </w:r>
      <w:r>
        <w:rPr>
          <w:rFonts w:ascii="宋体" w:eastAsia="宋体" w:hAnsi="宋体" w:hint="eastAsia"/>
          <w:sz w:val="20"/>
          <w:szCs w:val="20"/>
        </w:rPr>
        <w:t>.</w:t>
      </w:r>
      <w:r w:rsidRPr="00777ADA">
        <w:rPr>
          <w:rFonts w:ascii="宋体" w:eastAsia="宋体" w:hAnsi="宋体"/>
          <w:sz w:val="20"/>
          <w:szCs w:val="20"/>
        </w:rPr>
        <w:t>第15章还将把这种方法扩展到从参与</w:t>
      </w:r>
      <w:r>
        <w:rPr>
          <w:rFonts w:ascii="宋体" w:eastAsia="宋体" w:hAnsi="宋体" w:hint="eastAsia"/>
          <w:sz w:val="20"/>
          <w:szCs w:val="20"/>
        </w:rPr>
        <w:t>媒介</w:t>
      </w:r>
      <w:r w:rsidRPr="00777ADA">
        <w:rPr>
          <w:rFonts w:ascii="宋体" w:eastAsia="宋体" w:hAnsi="宋体"/>
          <w:sz w:val="20"/>
          <w:szCs w:val="20"/>
        </w:rPr>
        <w:t>散射</w:t>
      </w:r>
      <w:r>
        <w:rPr>
          <w:rFonts w:ascii="宋体" w:eastAsia="宋体" w:hAnsi="宋体" w:hint="eastAsia"/>
          <w:sz w:val="20"/>
          <w:szCs w:val="20"/>
        </w:rPr>
        <w:t>,</w:t>
      </w:r>
      <w:r w:rsidRPr="00777ADA">
        <w:rPr>
          <w:rFonts w:ascii="宋体" w:eastAsia="宋体" w:hAnsi="宋体"/>
          <w:sz w:val="20"/>
          <w:szCs w:val="20"/>
        </w:rPr>
        <w:t>而第16章将介绍从摄像机和光源开始构建载光路径的双向方法</w:t>
      </w:r>
      <w:r>
        <w:rPr>
          <w:rFonts w:ascii="宋体" w:eastAsia="宋体" w:hAnsi="宋体" w:hint="eastAsia"/>
          <w:sz w:val="20"/>
          <w:szCs w:val="20"/>
        </w:rPr>
        <w:t>.</w:t>
      </w:r>
    </w:p>
    <w:p w14:paraId="2677FD18" w14:textId="643552CA" w:rsidR="00777ADA" w:rsidRDefault="00777ADA">
      <w:pPr>
        <w:rPr>
          <w:rFonts w:ascii="宋体" w:eastAsia="宋体" w:hAnsi="宋体"/>
          <w:sz w:val="20"/>
          <w:szCs w:val="20"/>
        </w:rPr>
      </w:pPr>
    </w:p>
    <w:p w14:paraId="6CB5FDC0" w14:textId="485FF44F" w:rsidR="00777ADA" w:rsidRDefault="00777AD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4.1 </w:t>
      </w:r>
      <w:r w:rsidRPr="00777ADA">
        <w:rPr>
          <w:rFonts w:ascii="宋体" w:eastAsia="宋体" w:hAnsi="宋体" w:hint="eastAsia"/>
          <w:sz w:val="20"/>
          <w:szCs w:val="20"/>
        </w:rPr>
        <w:t>采样反射</w:t>
      </w:r>
      <w:r>
        <w:rPr>
          <w:rFonts w:ascii="宋体" w:eastAsia="宋体" w:hAnsi="宋体" w:hint="eastAsia"/>
          <w:sz w:val="20"/>
          <w:szCs w:val="20"/>
        </w:rPr>
        <w:t>函数 2020年7月31日10点45分</w:t>
      </w:r>
    </w:p>
    <w:p w14:paraId="242C5C42" w14:textId="11FB25AE" w:rsidR="00777ADA" w:rsidRDefault="00777ADA">
      <w:pPr>
        <w:rPr>
          <w:rFonts w:ascii="宋体" w:eastAsia="宋体" w:hAnsi="宋体"/>
          <w:sz w:val="20"/>
          <w:szCs w:val="20"/>
        </w:rPr>
      </w:pPr>
    </w:p>
    <w:p w14:paraId="6AE13E47" w14:textId="6909A88C" w:rsidR="006C21E2" w:rsidRDefault="006C21E2">
      <w:pPr>
        <w:rPr>
          <w:rFonts w:ascii="宋体" w:eastAsia="宋体" w:hAnsi="宋体"/>
          <w:sz w:val="20"/>
          <w:szCs w:val="20"/>
        </w:rPr>
      </w:pPr>
      <w:r>
        <w:rPr>
          <w:rFonts w:ascii="宋体" w:eastAsia="宋体" w:hAnsi="宋体" w:hint="eastAsia"/>
          <w:sz w:val="20"/>
          <w:szCs w:val="20"/>
        </w:rPr>
        <w:t>14.4</w:t>
      </w:r>
      <w:r>
        <w:rPr>
          <w:rFonts w:ascii="宋体" w:eastAsia="宋体" w:hAnsi="宋体"/>
          <w:sz w:val="20"/>
          <w:szCs w:val="20"/>
        </w:rPr>
        <w:t xml:space="preserve"> </w:t>
      </w:r>
      <w:r>
        <w:rPr>
          <w:rFonts w:ascii="宋体" w:eastAsia="宋体" w:hAnsi="宋体" w:hint="eastAsia"/>
          <w:sz w:val="20"/>
          <w:szCs w:val="20"/>
        </w:rPr>
        <w:t>光传输方程 2020年7月31日16点13分</w:t>
      </w:r>
    </w:p>
    <w:p w14:paraId="3293E40B" w14:textId="070BBAC5" w:rsidR="00772C62" w:rsidRDefault="00772C62">
      <w:pPr>
        <w:rPr>
          <w:rFonts w:ascii="宋体" w:eastAsia="宋体" w:hAnsi="宋体"/>
          <w:sz w:val="20"/>
          <w:szCs w:val="20"/>
        </w:rPr>
      </w:pPr>
      <w:r>
        <w:rPr>
          <w:rFonts w:ascii="宋体" w:eastAsia="宋体" w:hAnsi="宋体"/>
          <w:sz w:val="20"/>
          <w:szCs w:val="20"/>
        </w:rPr>
        <w:tab/>
      </w:r>
      <w:r w:rsidRPr="00772C62">
        <w:rPr>
          <w:rFonts w:ascii="宋体" w:eastAsia="宋体" w:hAnsi="宋体" w:hint="eastAsia"/>
          <w:sz w:val="20"/>
          <w:szCs w:val="20"/>
        </w:rPr>
        <w:t>光传输方程（</w:t>
      </w:r>
      <w:r w:rsidRPr="00772C62">
        <w:rPr>
          <w:rFonts w:ascii="宋体" w:eastAsia="宋体" w:hAnsi="宋体"/>
          <w:sz w:val="20"/>
          <w:szCs w:val="20"/>
        </w:rPr>
        <w:t>LTE）是控制方程，描述了场景中辐射的平衡分布。它根据表面的发射，其BSDF以及到达该点的入射照明的分布，给出了该点在表面上的总反射辐射率。目前，我们将仅考虑场景中没有参与媒体的情况。 （第15章描述了具有参与媒体的场景对该过程的必要概括。）使LTE评估困难的细节是以下事实：一点上的入射辐射率受其中所有对象的几何形状和散射特性的影响。现场。例如，强光照射在红色物体上可能会导致场景中附近物体的颜色带红色，或者玻璃可能会将光聚焦到桌面上的腐蚀性图案中。解决这种复杂性的渲染算法通常称为全局照明算法，以</w:t>
      </w:r>
      <w:r w:rsidRPr="00772C62">
        <w:rPr>
          <w:rFonts w:ascii="宋体" w:eastAsia="宋体" w:hAnsi="宋体" w:hint="eastAsia"/>
          <w:sz w:val="20"/>
          <w:szCs w:val="20"/>
        </w:rPr>
        <w:t>将其与仅在着色计算中使用有关局部表面属性的信息的局部照明算法区分开来。在本节中，我们将首先推导</w:t>
      </w:r>
      <w:r w:rsidRPr="00772C62">
        <w:rPr>
          <w:rFonts w:ascii="宋体" w:eastAsia="宋体" w:hAnsi="宋体"/>
          <w:sz w:val="20"/>
          <w:szCs w:val="20"/>
        </w:rPr>
        <w:t>LTE，并描述一些用于处理方程式的方法，以使其更易于数值求解。然后，我们将描述LTE的两种概括，这将使LTE的一些关键特性更加清晰，并为将在第16章中实现的一些高级集成商奠定基础。</w:t>
      </w:r>
    </w:p>
    <w:p w14:paraId="6808C199" w14:textId="32F806F7" w:rsidR="00772C62" w:rsidRDefault="00772C62">
      <w:pPr>
        <w:rPr>
          <w:rFonts w:ascii="宋体" w:eastAsia="宋体" w:hAnsi="宋体"/>
          <w:sz w:val="20"/>
          <w:szCs w:val="20"/>
        </w:rPr>
      </w:pPr>
    </w:p>
    <w:p w14:paraId="702FF949" w14:textId="23F919FC" w:rsidR="00772C62" w:rsidRDefault="00772C62">
      <w:pPr>
        <w:rPr>
          <w:rFonts w:ascii="宋体" w:eastAsia="宋体" w:hAnsi="宋体"/>
          <w:sz w:val="20"/>
          <w:szCs w:val="20"/>
        </w:rPr>
      </w:pPr>
      <w:r>
        <w:rPr>
          <w:rFonts w:ascii="宋体" w:eastAsia="宋体" w:hAnsi="宋体" w:hint="eastAsia"/>
          <w:sz w:val="20"/>
          <w:szCs w:val="20"/>
        </w:rPr>
        <w:t>14.4.1</w:t>
      </w:r>
      <w:r>
        <w:rPr>
          <w:rFonts w:ascii="宋体" w:eastAsia="宋体" w:hAnsi="宋体"/>
          <w:sz w:val="20"/>
          <w:szCs w:val="20"/>
        </w:rPr>
        <w:t xml:space="preserve"> </w:t>
      </w:r>
      <w:r>
        <w:rPr>
          <w:rFonts w:ascii="宋体" w:eastAsia="宋体" w:hAnsi="宋体" w:hint="eastAsia"/>
          <w:sz w:val="20"/>
          <w:szCs w:val="20"/>
        </w:rPr>
        <w:t>基础推导</w:t>
      </w:r>
    </w:p>
    <w:p w14:paraId="4128ABAD" w14:textId="701D4A22" w:rsidR="00772C62" w:rsidRDefault="00772C62">
      <w:pPr>
        <w:rPr>
          <w:rFonts w:ascii="宋体" w:eastAsia="宋体" w:hAnsi="宋体"/>
          <w:sz w:val="20"/>
          <w:szCs w:val="20"/>
        </w:rPr>
      </w:pPr>
      <w:r>
        <w:rPr>
          <w:rFonts w:ascii="宋体" w:eastAsia="宋体" w:hAnsi="宋体"/>
          <w:sz w:val="20"/>
          <w:szCs w:val="20"/>
        </w:rPr>
        <w:tab/>
      </w:r>
      <w:r w:rsidRPr="00772C62">
        <w:rPr>
          <w:rFonts w:ascii="宋体" w:eastAsia="宋体" w:hAnsi="宋体" w:hint="eastAsia"/>
          <w:sz w:val="20"/>
          <w:szCs w:val="20"/>
        </w:rPr>
        <w:t>光传输方程式取决于我们在选择使用辐射测量法来描述光时已经做出的基本假设，即波光学效应不重要，场景中的辐射分布处于平衡状态。</w:t>
      </w:r>
      <w:r w:rsidRPr="00772C62">
        <w:rPr>
          <w:rFonts w:ascii="宋体" w:eastAsia="宋体" w:hAnsi="宋体"/>
          <w:sz w:val="20"/>
          <w:szCs w:val="20"/>
        </w:rPr>
        <w:t xml:space="preserve"> LTE的关键原理是能量平衡。 能源的任何变化都必须“充电”到某个过程中，我们必须跟踪所有能源。 由于我们假设照明是线性过程，因此进入系统的能量与流出系统的能量之差也必须等于发出的能量与吸收的能量之差。 这个想法在许多层面上都适用。 从宏观上讲，我们</w:t>
      </w:r>
      <w:r>
        <w:rPr>
          <w:rFonts w:ascii="宋体" w:eastAsia="宋体" w:hAnsi="宋体" w:hint="eastAsia"/>
          <w:sz w:val="20"/>
          <w:szCs w:val="20"/>
        </w:rPr>
        <w:t>具有功率守恒:</w:t>
      </w:r>
    </w:p>
    <w:p w14:paraId="2EB1F011" w14:textId="59AB8A1F" w:rsidR="00772C62" w:rsidRPr="00772C62" w:rsidRDefault="00772C62">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e</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a</m:t>
              </m:r>
            </m:sub>
          </m:sSub>
          <m:r>
            <w:rPr>
              <w:rFonts w:ascii="Cambria Math" w:eastAsia="宋体" w:hAnsi="Cambria Math"/>
              <w:sz w:val="20"/>
              <w:szCs w:val="20"/>
            </w:rPr>
            <m:t>.</m:t>
          </m:r>
        </m:oMath>
      </m:oMathPara>
    </w:p>
    <w:p w14:paraId="231DB2E6" w14:textId="5A7B5A2A" w:rsidR="00772C62" w:rsidRDefault="00772C62">
      <w:pPr>
        <w:rPr>
          <w:rFonts w:ascii="宋体" w:eastAsia="宋体" w:hAnsi="宋体"/>
          <w:sz w:val="20"/>
          <w:szCs w:val="20"/>
        </w:rPr>
      </w:pPr>
      <w:r w:rsidRPr="00772C62">
        <w:rPr>
          <w:rFonts w:ascii="宋体" w:eastAsia="宋体" w:hAnsi="宋体" w:hint="eastAsia"/>
          <w:sz w:val="20"/>
          <w:szCs w:val="20"/>
        </w:rPr>
        <w:t>离开物体</w:t>
      </w:r>
      <w:r w:rsidRPr="00772C62">
        <w:rPr>
          <w:rFonts w:ascii="宋体" w:eastAsia="宋体" w:hAnsi="宋体"/>
          <w:sz w:val="20"/>
          <w:szCs w:val="20"/>
        </w:rPr>
        <w:t>功率</w:t>
      </w:r>
      <m:oMath>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o</m:t>
            </m:r>
          </m:sub>
        </m:sSub>
      </m:oMath>
      <w:r w:rsidRPr="00772C62">
        <w:rPr>
          <w:rFonts w:ascii="宋体" w:eastAsia="宋体" w:hAnsi="宋体"/>
          <w:sz w:val="20"/>
          <w:szCs w:val="20"/>
        </w:rPr>
        <w:t>与进入物体的功率</w:t>
      </w:r>
      <m:oMath>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oMath>
      <w:r w:rsidRPr="00772C62">
        <w:rPr>
          <w:rFonts w:ascii="宋体" w:eastAsia="宋体" w:hAnsi="宋体"/>
          <w:sz w:val="20"/>
          <w:szCs w:val="20"/>
        </w:rPr>
        <w:t>之差</w:t>
      </w:r>
      <w:r w:rsidR="006674F1">
        <w:rPr>
          <w:rFonts w:ascii="宋体" w:eastAsia="宋体" w:hAnsi="宋体" w:hint="eastAsia"/>
          <w:sz w:val="20"/>
          <w:szCs w:val="20"/>
        </w:rPr>
        <w:t>,</w:t>
      </w:r>
      <w:r w:rsidRPr="00772C62">
        <w:rPr>
          <w:rFonts w:ascii="宋体" w:eastAsia="宋体" w:hAnsi="宋体"/>
          <w:sz w:val="20"/>
          <w:szCs w:val="20"/>
        </w:rPr>
        <w:t>等于其发射的能量与吸收的能量之差</w:t>
      </w:r>
      <m:oMath>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e</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a</m:t>
            </m:r>
          </m:sub>
        </m:sSub>
      </m:oMath>
      <w:r w:rsidR="006674F1">
        <w:rPr>
          <w:rFonts w:ascii="宋体" w:eastAsia="宋体" w:hAnsi="宋体" w:hint="eastAsia"/>
          <w:sz w:val="20"/>
          <w:szCs w:val="20"/>
        </w:rPr>
        <w:t>.</w:t>
      </w:r>
    </w:p>
    <w:p w14:paraId="493EDB71" w14:textId="52DAEE2F" w:rsidR="006674F1" w:rsidRDefault="006674F1">
      <w:pPr>
        <w:rPr>
          <w:rFonts w:ascii="宋体" w:eastAsia="宋体" w:hAnsi="宋体"/>
          <w:sz w:val="20"/>
          <w:szCs w:val="20"/>
        </w:rPr>
      </w:pPr>
      <w:r>
        <w:rPr>
          <w:rFonts w:ascii="宋体" w:eastAsia="宋体" w:hAnsi="宋体"/>
          <w:sz w:val="20"/>
          <w:szCs w:val="20"/>
        </w:rPr>
        <w:tab/>
      </w:r>
      <w:r w:rsidRPr="006674F1">
        <w:rPr>
          <w:rFonts w:ascii="宋体" w:eastAsia="宋体" w:hAnsi="宋体" w:hint="eastAsia"/>
          <w:sz w:val="20"/>
          <w:szCs w:val="20"/>
        </w:rPr>
        <w:t>为了加强表面的能量平衡</w:t>
      </w:r>
      <w:r>
        <w:rPr>
          <w:rFonts w:ascii="宋体" w:eastAsia="宋体" w:hAnsi="宋体" w:hint="eastAsia"/>
          <w:sz w:val="20"/>
          <w:szCs w:val="20"/>
        </w:rPr>
        <w:t>,</w:t>
      </w:r>
      <w:r w:rsidRPr="006674F1">
        <w:rPr>
          <w:rFonts w:ascii="宋体" w:eastAsia="宋体" w:hAnsi="宋体" w:hint="eastAsia"/>
          <w:sz w:val="20"/>
          <w:szCs w:val="20"/>
        </w:rPr>
        <w:t>出辐射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oMath>
      <w:r w:rsidRPr="006674F1">
        <w:rPr>
          <w:rFonts w:ascii="宋体" w:eastAsia="宋体" w:hAnsi="宋体"/>
          <w:sz w:val="20"/>
          <w:szCs w:val="20"/>
        </w:rPr>
        <w:t>必须等于发射辐射加上入射辐射的散射分数</w:t>
      </w:r>
      <w:r w:rsidR="00775266">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6674F1">
        <w:rPr>
          <w:rFonts w:ascii="宋体" w:eastAsia="宋体" w:hAnsi="宋体"/>
          <w:sz w:val="20"/>
          <w:szCs w:val="20"/>
        </w:rPr>
        <w:t>给出辐射辐射</w:t>
      </w:r>
      <w:r w:rsidR="00775266">
        <w:rPr>
          <w:rFonts w:ascii="宋体" w:eastAsia="宋体" w:hAnsi="宋体" w:hint="eastAsia"/>
          <w:sz w:val="20"/>
          <w:szCs w:val="20"/>
        </w:rPr>
        <w:t>,</w:t>
      </w:r>
      <w:r w:rsidRPr="006674F1">
        <w:rPr>
          <w:rFonts w:ascii="宋体" w:eastAsia="宋体" w:hAnsi="宋体"/>
          <w:sz w:val="20"/>
          <w:szCs w:val="20"/>
        </w:rPr>
        <w:t>散射方程给出散射辐射</w:t>
      </w:r>
      <w:r w:rsidR="00775266">
        <w:rPr>
          <w:rFonts w:ascii="宋体" w:eastAsia="宋体" w:hAnsi="宋体" w:hint="eastAsia"/>
          <w:sz w:val="20"/>
          <w:szCs w:val="20"/>
        </w:rPr>
        <w:t>,</w:t>
      </w:r>
    </w:p>
    <w:p w14:paraId="33F074C4" w14:textId="03DAF225" w:rsidR="00775266" w:rsidRPr="00775266" w:rsidRDefault="0077526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m:t>
          </m:r>
        </m:oMath>
      </m:oMathPara>
    </w:p>
    <w:p w14:paraId="0188155D" w14:textId="535F5215" w:rsidR="00775266" w:rsidRDefault="00775266">
      <w:pPr>
        <w:rPr>
          <w:rFonts w:ascii="宋体" w:eastAsia="宋体" w:hAnsi="宋体"/>
          <w:sz w:val="20"/>
          <w:szCs w:val="20"/>
        </w:rPr>
      </w:pPr>
      <w:r w:rsidRPr="00775266">
        <w:rPr>
          <w:rFonts w:ascii="宋体" w:eastAsia="宋体" w:hAnsi="宋体" w:hint="eastAsia"/>
          <w:sz w:val="20"/>
          <w:szCs w:val="20"/>
        </w:rPr>
        <w:t>因为我们现在假设不存在任何参与</w:t>
      </w:r>
      <w:r>
        <w:rPr>
          <w:rFonts w:ascii="宋体" w:eastAsia="宋体" w:hAnsi="宋体" w:hint="eastAsia"/>
          <w:sz w:val="20"/>
          <w:szCs w:val="20"/>
        </w:rPr>
        <w:t>介质,</w:t>
      </w:r>
      <w:r w:rsidRPr="00775266">
        <w:rPr>
          <w:rFonts w:ascii="宋体" w:eastAsia="宋体" w:hAnsi="宋体" w:hint="eastAsia"/>
          <w:sz w:val="20"/>
          <w:szCs w:val="20"/>
        </w:rPr>
        <w:t>所以沿着场景中的光线的辐射是恒定的</w:t>
      </w:r>
      <w:r>
        <w:rPr>
          <w:rFonts w:ascii="宋体" w:eastAsia="宋体" w:hAnsi="宋体" w:hint="eastAsia"/>
          <w:sz w:val="20"/>
          <w:szCs w:val="20"/>
        </w:rPr>
        <w:t>.</w:t>
      </w:r>
      <w:r w:rsidRPr="00775266">
        <w:rPr>
          <w:rFonts w:ascii="宋体" w:eastAsia="宋体" w:hAnsi="宋体"/>
          <w:sz w:val="20"/>
          <w:szCs w:val="20"/>
        </w:rPr>
        <w:t>因此</w:t>
      </w:r>
      <w:r>
        <w:rPr>
          <w:rFonts w:ascii="宋体" w:eastAsia="宋体" w:hAnsi="宋体" w:hint="eastAsia"/>
          <w:sz w:val="20"/>
          <w:szCs w:val="20"/>
        </w:rPr>
        <w:t>,</w:t>
      </w:r>
      <w:r w:rsidRPr="00775266">
        <w:rPr>
          <w:rFonts w:ascii="宋体" w:eastAsia="宋体" w:hAnsi="宋体"/>
          <w:sz w:val="20"/>
          <w:szCs w:val="20"/>
        </w:rPr>
        <w:t>我们可以将</w:t>
      </w:r>
      <m:oMath>
        <m:r>
          <w:rPr>
            <w:rFonts w:ascii="Cambria Math" w:eastAsia="宋体" w:hAnsi="Cambria Math"/>
            <w:sz w:val="20"/>
            <w:szCs w:val="20"/>
          </w:rPr>
          <m:t>p</m:t>
        </m:r>
      </m:oMath>
      <w:r w:rsidRPr="00775266">
        <w:rPr>
          <w:rFonts w:ascii="宋体" w:eastAsia="宋体" w:hAnsi="宋体"/>
          <w:sz w:val="20"/>
          <w:szCs w:val="20"/>
        </w:rPr>
        <w:t>处的入射辐射与另一个点</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775266">
        <w:rPr>
          <w:rFonts w:ascii="宋体" w:eastAsia="宋体" w:hAnsi="宋体"/>
          <w:sz w:val="20"/>
          <w:szCs w:val="20"/>
        </w:rPr>
        <w:t>的出射辐射联系起来，如图14.14所示</w:t>
      </w:r>
      <w:r w:rsidR="00567981">
        <w:rPr>
          <w:rFonts w:ascii="宋体" w:eastAsia="宋体" w:hAnsi="宋体" w:hint="eastAsia"/>
          <w:sz w:val="20"/>
          <w:szCs w:val="20"/>
        </w:rPr>
        <w:t>.如果</w:t>
      </w:r>
      <w:r w:rsidRPr="00775266">
        <w:rPr>
          <w:rFonts w:ascii="宋体" w:eastAsia="宋体" w:hAnsi="宋体"/>
          <w:sz w:val="20"/>
          <w:szCs w:val="20"/>
        </w:rPr>
        <w:t>我们</w:t>
      </w:r>
      <w:r w:rsidR="00567981">
        <w:rPr>
          <w:rFonts w:ascii="宋体" w:eastAsia="宋体" w:hAnsi="宋体" w:hint="eastAsia"/>
          <w:sz w:val="20"/>
          <w:szCs w:val="20"/>
        </w:rPr>
        <w:t>定义</w:t>
      </w:r>
      <w:r w:rsidRPr="00775266">
        <w:rPr>
          <w:rFonts w:ascii="宋体" w:eastAsia="宋体" w:hAnsi="宋体"/>
          <w:sz w:val="20"/>
          <w:szCs w:val="20"/>
        </w:rPr>
        <w:t>光线投射函数</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p,ω</m:t>
            </m:r>
          </m:e>
        </m:d>
      </m:oMath>
      <w:r w:rsidR="00567981">
        <w:rPr>
          <w:rFonts w:ascii="宋体" w:eastAsia="宋体" w:hAnsi="宋体" w:hint="eastAsia"/>
          <w:sz w:val="20"/>
          <w:szCs w:val="20"/>
        </w:rPr>
        <w:t>,该函数</w:t>
      </w:r>
      <w:r w:rsidRPr="00775266">
        <w:rPr>
          <w:rFonts w:ascii="宋体" w:eastAsia="宋体" w:hAnsi="宋体"/>
          <w:sz w:val="20"/>
          <w:szCs w:val="20"/>
        </w:rPr>
        <w:t>计算从</w:t>
      </w:r>
      <m:oMath>
        <m:r>
          <w:rPr>
            <w:rFonts w:ascii="Cambria Math" w:eastAsia="宋体" w:hAnsi="Cambria Math"/>
            <w:sz w:val="20"/>
            <w:szCs w:val="20"/>
          </w:rPr>
          <m:t>p</m:t>
        </m:r>
      </m:oMath>
      <w:r w:rsidRPr="00775266">
        <w:rPr>
          <w:rFonts w:ascii="宋体" w:eastAsia="宋体" w:hAnsi="宋体"/>
          <w:sz w:val="20"/>
          <w:szCs w:val="20"/>
        </w:rPr>
        <w:t>沿</w:t>
      </w:r>
      <m:oMath>
        <m:r>
          <w:rPr>
            <w:rFonts w:ascii="Cambria Math" w:eastAsia="宋体" w:hAnsi="Cambria Math"/>
            <w:sz w:val="20"/>
            <w:szCs w:val="20"/>
          </w:rPr>
          <m:t>ω</m:t>
        </m:r>
      </m:oMath>
      <w:r w:rsidRPr="00775266">
        <w:rPr>
          <w:rFonts w:ascii="宋体" w:eastAsia="宋体" w:hAnsi="宋体"/>
          <w:sz w:val="20"/>
          <w:szCs w:val="20"/>
        </w:rPr>
        <w:t>方向与</w:t>
      </w:r>
      <w:r w:rsidR="00567981">
        <w:rPr>
          <w:rFonts w:ascii="宋体" w:eastAsia="宋体" w:hAnsi="宋体" w:hint="eastAsia"/>
          <w:sz w:val="20"/>
          <w:szCs w:val="20"/>
        </w:rPr>
        <w:t>曲面相交于第一个点</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567981">
        <w:rPr>
          <w:rFonts w:ascii="宋体" w:eastAsia="宋体" w:hAnsi="宋体" w:hint="eastAsia"/>
          <w:sz w:val="20"/>
          <w:szCs w:val="20"/>
        </w:rPr>
        <w:t>,</w:t>
      </w:r>
      <w:r w:rsidRPr="00775266">
        <w:rPr>
          <w:rFonts w:ascii="宋体" w:eastAsia="宋体" w:hAnsi="宋体"/>
          <w:sz w:val="20"/>
          <w:szCs w:val="20"/>
        </w:rPr>
        <w:t>则可以将</w:t>
      </w:r>
      <m:oMath>
        <m:r>
          <w:rPr>
            <w:rFonts w:ascii="Cambria Math" w:eastAsia="宋体" w:hAnsi="Cambria Math"/>
            <w:sz w:val="20"/>
            <w:szCs w:val="20"/>
          </w:rPr>
          <m:t>p</m:t>
        </m:r>
      </m:oMath>
      <w:r w:rsidRPr="00775266">
        <w:rPr>
          <w:rFonts w:ascii="宋体" w:eastAsia="宋体" w:hAnsi="宋体"/>
          <w:sz w:val="20"/>
          <w:szCs w:val="20"/>
        </w:rPr>
        <w:t>处的入射辐射率写为</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775266">
        <w:rPr>
          <w:rFonts w:ascii="宋体" w:eastAsia="宋体" w:hAnsi="宋体"/>
          <w:sz w:val="20"/>
          <w:szCs w:val="20"/>
        </w:rPr>
        <w:t>处的出射辐射率</w:t>
      </w:r>
      <w:r w:rsidR="00567981">
        <w:rPr>
          <w:rFonts w:ascii="宋体" w:eastAsia="宋体" w:hAnsi="宋体"/>
          <w:sz w:val="20"/>
          <w:szCs w:val="20"/>
        </w:rPr>
        <w:t>:</w:t>
      </w:r>
    </w:p>
    <w:p w14:paraId="0ADCD8C2" w14:textId="3C7C42B2" w:rsidR="00567981" w:rsidRPr="00567981" w:rsidRDefault="0056798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r>
                <w:rPr>
                  <w:rFonts w:ascii="Cambria Math" w:eastAsia="宋体" w:hAnsi="Cambria Math"/>
                  <w:sz w:val="20"/>
                  <w:szCs w:val="20"/>
                </w:rPr>
                <m:t>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r>
                <w:rPr>
                  <w:rFonts w:ascii="Cambria Math" w:eastAsia="宋体" w:hAnsi="Cambria Math"/>
                  <w:sz w:val="20"/>
                  <w:szCs w:val="20"/>
                </w:rPr>
                <m:t>-ω</m:t>
              </m:r>
            </m:e>
          </m:d>
          <m:r>
            <w:rPr>
              <w:rFonts w:ascii="Cambria Math" w:eastAsia="宋体" w:hAnsi="Cambria Math"/>
              <w:sz w:val="20"/>
              <w:szCs w:val="20"/>
            </w:rPr>
            <m:t>.</m:t>
          </m:r>
        </m:oMath>
      </m:oMathPara>
    </w:p>
    <w:p w14:paraId="0617896C" w14:textId="77777777" w:rsidR="00567981" w:rsidRPr="006674F1" w:rsidRDefault="00567981">
      <w:pPr>
        <w:rPr>
          <w:rFonts w:ascii="宋体" w:eastAsia="宋体" w:hAnsi="宋体" w:hint="eastAsia"/>
          <w:sz w:val="20"/>
          <w:szCs w:val="20"/>
        </w:rPr>
      </w:pPr>
    </w:p>
    <w:sectPr w:rsidR="00567981" w:rsidRPr="00667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0E"/>
    <w:rsid w:val="000B3389"/>
    <w:rsid w:val="001D6883"/>
    <w:rsid w:val="0031684E"/>
    <w:rsid w:val="00540107"/>
    <w:rsid w:val="00567981"/>
    <w:rsid w:val="00583BDA"/>
    <w:rsid w:val="006674F1"/>
    <w:rsid w:val="006C21E2"/>
    <w:rsid w:val="00772C62"/>
    <w:rsid w:val="00775266"/>
    <w:rsid w:val="00777ADA"/>
    <w:rsid w:val="008E0B0E"/>
    <w:rsid w:val="00CE4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0114"/>
  <w15:chartTrackingRefBased/>
  <w15:docId w15:val="{16AA39CF-5DE3-472B-A0C5-6AC137D2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33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cp:revision>
  <dcterms:created xsi:type="dcterms:W3CDTF">2020-05-11T06:25:00Z</dcterms:created>
  <dcterms:modified xsi:type="dcterms:W3CDTF">2020-07-31T10:53:00Z</dcterms:modified>
</cp:coreProperties>
</file>