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21E32" w14:textId="5E34BAA0" w:rsidR="004B759F" w:rsidRDefault="004B759F">
      <w:r>
        <w:rPr>
          <w:rFonts w:hint="eastAsia"/>
        </w:rPr>
        <w:t>概述</w:t>
      </w:r>
      <w:r>
        <w:tab/>
      </w:r>
    </w:p>
    <w:p w14:paraId="2EF6544E" w14:textId="34928B7B" w:rsidR="000C7F4F" w:rsidRDefault="004B759F">
      <w:r>
        <w:tab/>
      </w:r>
      <w:r w:rsidRPr="004B759F">
        <w:rPr>
          <w:rFonts w:hint="eastAsia"/>
        </w:rPr>
        <w:t>本文是</w:t>
      </w:r>
      <w:r w:rsidRPr="004B759F">
        <w:t>GDC 2008同题演讲，它简要介绍了球谐（SH），并讨论了将其用于交互式图形的几种方法以及可能出现的问题，尤其是以下内容 问题：如何使用SH高效评估照明模型，“振铃”是什么以及您能做什么，对SH产品的有效评估以及它们的使用位置。有关最新版本，请访问以下网站：</w:t>
      </w:r>
      <w:hyperlink r:id="rId6" w:history="1">
        <w:r w:rsidRPr="00BB0B68">
          <w:rPr>
            <w:rStyle w:val="a7"/>
          </w:rPr>
          <w:t>http</w:t>
        </w:r>
        <w:r w:rsidRPr="00BB0B68">
          <w:rPr>
            <w:rStyle w:val="a7"/>
            <w:rFonts w:hint="eastAsia"/>
          </w:rPr>
          <w:t>:</w:t>
        </w:r>
        <w:r w:rsidRPr="00BB0B68">
          <w:rPr>
            <w:rStyle w:val="a7"/>
          </w:rPr>
          <w:t>//www.ppsloan.org/publications</w:t>
        </w:r>
      </w:hyperlink>
    </w:p>
    <w:p w14:paraId="5F1E78FF" w14:textId="77777777" w:rsidR="00267A2D" w:rsidRDefault="00267A2D"/>
    <w:p w14:paraId="1CEFD843" w14:textId="2129E40D" w:rsidR="00267A2D" w:rsidRDefault="00267A2D">
      <w:r>
        <w:rPr>
          <w:rFonts w:hint="eastAsia"/>
        </w:rPr>
        <w:t>介绍</w:t>
      </w:r>
      <w:r w:rsidR="004B759F">
        <w:tab/>
      </w:r>
    </w:p>
    <w:p w14:paraId="7A37AB88" w14:textId="555B0DB6" w:rsidR="004B759F" w:rsidRDefault="00267A2D">
      <w:r>
        <w:tab/>
      </w:r>
      <w:r w:rsidR="004B759F" w:rsidRPr="004B759F">
        <w:rPr>
          <w:rFonts w:hint="eastAsia"/>
        </w:rPr>
        <w:t>球谐函数是局限于球形</w:t>
      </w:r>
      <w:r w:rsidR="004B759F" w:rsidRPr="004B759F">
        <w:t>1的解[5]，已被用于解决物理中的潜在问题，例如热方程（2），拉普拉斯方程的解已广泛用于各个领域。模拟温度随时间的变化[25]，以及引力场和电场[9]，它们也已用于量子化学和物理学，以模拟原子中的电子结构并模拟量子角动量[16] [51]。与图形更接近，它们已用于对散射现象进行建模[7] [17]。在计算机图形学中已将其广泛使用，早期用于建模体积散射效应[18]，即无全局阴影的微面BRDF的环境反射[6]。 ]，非扩散离线光传输模拟[40]，BRDF表示[53]，图像重新照明[28]，具</w:t>
      </w:r>
      <w:r w:rsidR="004B759F" w:rsidRPr="004B759F">
        <w:rPr>
          <w:rFonts w:hint="eastAsia"/>
        </w:rPr>
        <w:t>有可控照明的基于图像的渲染</w:t>
      </w:r>
      <w:r w:rsidR="004B759F" w:rsidRPr="004B759F">
        <w:t>[54] [55]和建模光源发射[8]。最近的例子包括在大气散射[50]和计算机视觉[3]中的更多工作。</w:t>
      </w:r>
    </w:p>
    <w:p w14:paraId="5B779A5B" w14:textId="46694AD9" w:rsidR="004B759F" w:rsidRDefault="00407F44">
      <w:r>
        <w:tab/>
      </w:r>
      <w:r w:rsidRPr="00407F44">
        <w:rPr>
          <w:rFonts w:hint="eastAsia"/>
        </w:rPr>
        <w:t>本文的重点是与交互式渲染相关的技术。在游戏中广泛使用的第一篇论文涉及使用球谐函数有效地表示辐照度环境贴图，从而允许在远处照明下对漫反射对象进行交互式渲染</w:t>
      </w:r>
      <w:r w:rsidRPr="00407F44">
        <w:t>[35]。 扩展以处理具有相同约束条件的有限类别的BRDF [36]。预计算辐射转移（PRT）[41] [20] [24]对静态物体/场景对照明环境的响应进行建模，通常使用SH表示，包括复杂的全局照明效果，例如柔和阴影和具有漫反射和简单光泽材质的相互反射。</w:t>
      </w:r>
      <w:r w:rsidRPr="00407F44">
        <w:rPr>
          <w:rFonts w:hint="eastAsia"/>
        </w:rPr>
        <w:t>它被扩展为处理更通用的</w:t>
      </w:r>
      <w:r w:rsidRPr="00407F44">
        <w:t>BRDF模型[20] [23] [42]，并结合了表面下散射[42]，通过机器学习的压缩技术[42]显着提高了渲染效率，并使用各种技术对“局部”模型进行建模 像表面细节一样的纹理[43] [44] [45]。SH已用于对来自远距离照明环境的单个散射进行建模[49]。其他用途已用于使用梯度来提升远距离照明的假设[1]</w:t>
      </w:r>
      <w:r w:rsidR="00B61F16">
        <w:t xml:space="preserve">, </w:t>
      </w:r>
      <w:r w:rsidRPr="00407F44">
        <w:t>几种技术可以解决 动态对象[56] [37]，包括对相互反射的支持[46] [33]，以可视化方式表示使用通用BRDF模型[12]对对象进行阴影建模，并使用比例运算符对可变</w:t>
      </w:r>
      <w:r w:rsidRPr="00407F44">
        <w:rPr>
          <w:rFonts w:hint="eastAsia"/>
        </w:rPr>
        <w:t>形对象的阴影进行建模</w:t>
      </w:r>
      <w:r w:rsidRPr="00407F44">
        <w:t>[52] ]，作为折射的参数化[11]，以及解决法线贴图的详细程度问题的技术[15]</w:t>
      </w:r>
      <w:r>
        <w:t xml:space="preserve">. </w:t>
      </w:r>
    </w:p>
    <w:p w14:paraId="50695414" w14:textId="51056B04" w:rsidR="00B61F16" w:rsidRDefault="00B61F16">
      <w:r>
        <w:tab/>
      </w:r>
      <w:r w:rsidR="00682979" w:rsidRPr="00682979">
        <w:rPr>
          <w:rFonts w:hint="eastAsia"/>
        </w:rPr>
        <w:t>更多实用的论文包括</w:t>
      </w:r>
      <w:r w:rsidR="00682979" w:rsidRPr="00682979">
        <w:t>PRT的实现细节[13]，如何将这些技术集成到引擎中[30]，如何将SH +梯度用于辐照</w:t>
      </w:r>
      <w:r w:rsidR="00EF0BB6">
        <w:rPr>
          <w:rFonts w:hint="eastAsia"/>
        </w:rPr>
        <w:t>体积</w:t>
      </w:r>
      <w:r w:rsidR="00682979" w:rsidRPr="00682979">
        <w:t>[31] [32]，围绕投影的实际问题以及如何有效地量化 SH系数[21]</w:t>
      </w:r>
      <w:r w:rsidR="00EF0BB6">
        <w:rPr>
          <w:rFonts w:hint="eastAsia"/>
        </w:rPr>
        <w:t>，另一篇</w:t>
      </w:r>
      <w:r w:rsidR="00682979" w:rsidRPr="00682979">
        <w:t>论文将解析天窗模型[34]投影到SH中，并使用全局多项式拟合来评估SH光探针作为模型参数的函数[14]。使用SH在半球上也有专门的</w:t>
      </w:r>
      <w:r w:rsidR="00EF0BB6">
        <w:rPr>
          <w:rFonts w:hint="eastAsia"/>
        </w:rPr>
        <w:t>文献</w:t>
      </w:r>
      <w:r w:rsidR="00682979" w:rsidRPr="00682979">
        <w:t>[22]。</w:t>
      </w:r>
    </w:p>
    <w:p w14:paraId="57E769BE" w14:textId="10B62DFE" w:rsidR="00EF0BB6" w:rsidRDefault="00EF0BB6">
      <w:r>
        <w:tab/>
      </w:r>
      <w:r w:rsidRPr="00EF0BB6">
        <w:rPr>
          <w:rFonts w:hint="eastAsia"/>
        </w:rPr>
        <w:t>实时图形中的许多用途都是表示</w:t>
      </w:r>
      <w:r>
        <w:rPr>
          <w:rFonts w:hint="eastAsia"/>
        </w:rPr>
        <w:t>球谐</w:t>
      </w:r>
      <w:r w:rsidRPr="00EF0BB6">
        <w:rPr>
          <w:rFonts w:hint="eastAsia"/>
        </w:rPr>
        <w:t>函数（可见性，照明和反射率）的便捷方式。同时，还有许多其他基本函数可以使用，小波</w:t>
      </w:r>
      <w:r w:rsidRPr="00EF0BB6">
        <w:t>[39]，立方体图上的小波[27] ，球面径向基函数[9]和其他[26]，球谐函数具有一些很好的属性，将在本文档中进行描述。需要强调的是，在某些情况下，这些其他基函数更合适</w:t>
      </w:r>
      <w:r>
        <w:rPr>
          <w:rFonts w:hint="eastAsia"/>
        </w:rPr>
        <w:t>。</w:t>
      </w:r>
    </w:p>
    <w:p w14:paraId="380F2C8F" w14:textId="5A56D8C8" w:rsidR="00EF0BB6" w:rsidRDefault="00EF0BB6">
      <w:r>
        <w:tab/>
      </w:r>
      <w:r w:rsidRPr="00EF0BB6">
        <w:rPr>
          <w:rFonts w:hint="eastAsia"/>
        </w:rPr>
        <w:t>尽管球谐函数看起来有些令人生畏，但它们实际上很简单，它们是单位圆上傅立叶基础上的球模，并且易于进行数值计算。</w:t>
      </w:r>
      <w:r w:rsidRPr="00EF0BB6">
        <w:t>该系列（将始终在视频游戏中完成），以最大程度地减少可能出现的“振铃”伪影。本文将介绍如何使用球谐函数有效地评估和表示光源，如何将常规光源从SH表示中拉出来， 描述“振铃”和缓解技术以最大程度地减少其影响，并使用球谐函数遍历函数的乘积，描述它们在何处有用以及值得优化的特殊情况。</w:t>
      </w:r>
    </w:p>
    <w:p w14:paraId="7377E9F2" w14:textId="6AB43083" w:rsidR="00EF0BB6" w:rsidRDefault="00EF0BB6"/>
    <w:p w14:paraId="1DB61385" w14:textId="5378CC3D" w:rsidR="004517A6" w:rsidRDefault="004517A6">
      <w:r>
        <w:rPr>
          <w:rFonts w:hint="eastAsia"/>
        </w:rPr>
        <w:t>背景</w:t>
      </w:r>
    </w:p>
    <w:p w14:paraId="5C401281" w14:textId="19E6EE65" w:rsidR="004517A6" w:rsidRDefault="004517A6">
      <w:r>
        <w:rPr>
          <w:rFonts w:hint="eastAsia"/>
        </w:rPr>
        <w:t xml:space="preserve">定义 </w:t>
      </w:r>
      <w:r w:rsidR="003447E8">
        <w:rPr>
          <w:rFonts w:hint="eastAsia"/>
        </w:rPr>
        <w:t>球谐函数在球面S上的定义了液体个正交基.</w:t>
      </w:r>
      <w:r w:rsidR="003447E8">
        <w:t xml:space="preserve"> </w:t>
      </w:r>
      <w:r w:rsidR="003447E8">
        <w:rPr>
          <w:rFonts w:hint="eastAsia"/>
        </w:rPr>
        <w:t>参数化表示为</w:t>
      </w:r>
    </w:p>
    <w:p w14:paraId="4B545D53" w14:textId="5F4B5D5B" w:rsidR="003447E8" w:rsidRPr="003447E8" w:rsidRDefault="003447E8">
      <m:oMathPara>
        <m:oMath>
          <m:r>
            <w:rPr>
              <w:rFonts w:ascii="Cambria Math" w:hAnsi="Cambria Math"/>
            </w:rPr>
            <m:t>s=</m:t>
          </m:r>
          <m:d>
            <m:dPr>
              <m:ctrlPr>
                <w:rPr>
                  <w:rFonts w:ascii="Cambria Math" w:hAnsi="Cambria Math"/>
                  <w:i/>
                </w:rPr>
              </m:ctrlPr>
            </m:dPr>
            <m:e>
              <m:r>
                <w:rPr>
                  <w:rFonts w:ascii="Cambria Math" w:hAnsi="Cambria Math"/>
                </w:rPr>
                <m:t>x,y,z</m:t>
              </m:r>
            </m:e>
          </m:d>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oMath>
      </m:oMathPara>
    </w:p>
    <w:p w14:paraId="694962F8" w14:textId="0B847DF5" w:rsidR="003447E8" w:rsidRDefault="003447E8">
      <w:r>
        <w:rPr>
          <w:rFonts w:hint="eastAsia"/>
        </w:rPr>
        <w:t>其中</w:t>
      </w:r>
      <m:oMath>
        <m:r>
          <w:rPr>
            <w:rFonts w:ascii="Cambria Math" w:hAnsi="Cambria Math"/>
          </w:rPr>
          <m:t>s</m:t>
        </m:r>
      </m:oMath>
      <w:r>
        <w:rPr>
          <w:rFonts w:hint="eastAsia"/>
        </w:rPr>
        <w:t>是单位球上的任意一点.</w:t>
      </w:r>
      <w:r>
        <w:t xml:space="preserve"> </w:t>
      </w:r>
      <w:r>
        <w:rPr>
          <w:rFonts w:hint="eastAsia"/>
        </w:rPr>
        <w:t>基函数定义为</w:t>
      </w:r>
    </w:p>
    <w:p w14:paraId="74E0E77C" w14:textId="2F3F8D5C" w:rsidR="003447E8" w:rsidRPr="003447E8" w:rsidRDefault="003447E8">
      <m:oMathPara>
        <m:oMath>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θ,φ</m:t>
              </m: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l</m:t>
              </m:r>
            </m:sub>
            <m:sup>
              <m:r>
                <w:rPr>
                  <w:rFonts w:ascii="Cambria Math" w:hAnsi="Cambria Math"/>
                </w:rPr>
                <m:t>m</m:t>
              </m:r>
            </m:sup>
          </m:sSubSup>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rPr>
                <m:t>mφ</m:t>
              </m:r>
            </m:sup>
          </m:sSup>
          <m:sSubSup>
            <m:sSubSupPr>
              <m:ctrlPr>
                <w:rPr>
                  <w:rFonts w:ascii="Cambria Math" w:hAnsi="Cambria Math"/>
                  <w:i/>
                </w:rPr>
              </m:ctrlPr>
            </m:sSubSupPr>
            <m:e>
              <m:r>
                <w:rPr>
                  <w:rFonts w:ascii="Cambria Math" w:hAnsi="Cambria Math"/>
                </w:rPr>
                <m:t>P</m:t>
              </m:r>
            </m:e>
            <m:sub>
              <m:r>
                <w:rPr>
                  <w:rFonts w:ascii="Cambria Math" w:hAnsi="Cambria Math"/>
                </w:rPr>
                <m:t>l</m:t>
              </m:r>
            </m:sub>
            <m:sup>
              <m:d>
                <m:dPr>
                  <m:begChr m:val="|"/>
                  <m:endChr m:val="|"/>
                  <m:ctrlPr>
                    <w:rPr>
                      <w:rFonts w:ascii="Cambria Math" w:hAnsi="Cambria Math"/>
                      <w:i/>
                    </w:rPr>
                  </m:ctrlPr>
                </m:dPr>
                <m:e>
                  <m:r>
                    <w:rPr>
                      <w:rFonts w:ascii="Cambria Math" w:hAnsi="Cambria Math"/>
                    </w:rPr>
                    <m:t>m</m:t>
                  </m:r>
                </m:e>
              </m:d>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r>
            <w:rPr>
              <w:rFonts w:ascii="Cambria Math" w:hAnsi="Cambria Math"/>
            </w:rPr>
            <m:t>, l∈</m:t>
          </m:r>
          <m:r>
            <m:rPr>
              <m:sty m:val="bi"/>
            </m:rPr>
            <w:rPr>
              <w:rFonts w:ascii="Cambria Math" w:hAnsi="Cambria Math"/>
            </w:rPr>
            <m:t>N</m:t>
          </m:r>
          <m:r>
            <w:rPr>
              <w:rFonts w:ascii="Cambria Math" w:hAnsi="Cambria Math"/>
            </w:rPr>
            <m:t>,-l≤m≤l</m:t>
          </m:r>
        </m:oMath>
      </m:oMathPara>
    </w:p>
    <w:p w14:paraId="341ED2E5" w14:textId="77777777" w:rsidR="003447E8" w:rsidRPr="003447E8" w:rsidRDefault="003447E8">
      <w:pPr>
        <w:rPr>
          <w:rFonts w:hint="eastAsia"/>
        </w:rPr>
      </w:pPr>
    </w:p>
    <w:p w14:paraId="554CA1FD" w14:textId="4F0A00ED" w:rsidR="003447E8" w:rsidRDefault="003447E8">
      <w:r>
        <w:rPr>
          <w:rFonts w:hint="eastAsia"/>
        </w:rPr>
        <w:t>其中</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m:t>
            </m:r>
          </m:sup>
        </m:sSubSup>
      </m:oMath>
      <w:r>
        <w:rPr>
          <w:rFonts w:hint="eastAsia"/>
        </w:rPr>
        <w:t>是</w:t>
      </w:r>
      <w:r w:rsidRPr="003447E8">
        <w:rPr>
          <w:rFonts w:hint="eastAsia"/>
        </w:rPr>
        <w:t>相关勒让德多项式</w:t>
      </w:r>
      <w:r>
        <w:rPr>
          <w:rFonts w:hint="eastAsia"/>
        </w:rPr>
        <w:t>，</w:t>
      </w:r>
      <m:oMath>
        <m:sSubSup>
          <m:sSubSupPr>
            <m:ctrlPr>
              <w:rPr>
                <w:rFonts w:ascii="Cambria Math" w:hAnsi="Cambria Math"/>
                <w:i/>
              </w:rPr>
            </m:ctrlPr>
          </m:sSubSupPr>
          <m:e>
            <m:r>
              <w:rPr>
                <w:rFonts w:ascii="Cambria Math" w:hAnsi="Cambria Math"/>
              </w:rPr>
              <m:t>K</m:t>
            </m:r>
          </m:e>
          <m:sub>
            <m:r>
              <w:rPr>
                <w:rFonts w:ascii="Cambria Math" w:hAnsi="Cambria Math"/>
              </w:rPr>
              <m:t>l</m:t>
            </m:r>
          </m:sub>
          <m:sup>
            <m:r>
              <w:rPr>
                <w:rFonts w:ascii="Cambria Math" w:hAnsi="Cambria Math"/>
              </w:rPr>
              <m:t>m</m:t>
            </m:r>
          </m:sup>
        </m:sSubSup>
      </m:oMath>
      <w:r w:rsidR="00EE4C15">
        <w:rPr>
          <w:rFonts w:hint="eastAsia"/>
        </w:rPr>
        <w:t>是归一化常数</w:t>
      </w:r>
    </w:p>
    <w:p w14:paraId="4DD26FEB" w14:textId="235B0454" w:rsidR="00EE4C15" w:rsidRPr="00EE4C15" w:rsidRDefault="00EE4C15">
      <m:oMathPara>
        <m:oMath>
          <m:sSubSup>
            <m:sSubSupPr>
              <m:ctrlPr>
                <w:rPr>
                  <w:rFonts w:ascii="Cambria Math" w:hAnsi="Cambria Math"/>
                  <w:i/>
                </w:rPr>
              </m:ctrlPr>
            </m:sSubSupPr>
            <m:e>
              <m:r>
                <w:rPr>
                  <w:rFonts w:ascii="Cambria Math" w:hAnsi="Cambria Math"/>
                </w:rPr>
                <m:t>K</m:t>
              </m:r>
            </m:e>
            <m:sub>
              <m:r>
                <w:rPr>
                  <w:rFonts w:ascii="Cambria Math" w:hAnsi="Cambria Math"/>
                </w:rPr>
                <m:t>l</m:t>
              </m:r>
            </m:sub>
            <m:sup>
              <m:r>
                <w:rPr>
                  <w:rFonts w:ascii="Cambria Math" w:hAnsi="Cambria Math"/>
                </w:rPr>
                <m:t>m</m:t>
              </m:r>
            </m:sup>
          </m:sSubSup>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hint="eastAsia"/>
                        </w:rPr>
                        <m:t>2l</m:t>
                      </m:r>
                      <m:r>
                        <w:rPr>
                          <w:rFonts w:ascii="Cambria Math" w:hAnsi="Cambria Math"/>
                        </w:rPr>
                        <m:t>+1</m:t>
                      </m:r>
                    </m:e>
                  </m:d>
                  <m:d>
                    <m:dPr>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m</m:t>
                          </m:r>
                        </m:e>
                      </m:d>
                    </m:e>
                  </m:d>
                  <m:r>
                    <w:rPr>
                      <w:rFonts w:ascii="Cambria Math" w:hAnsi="Cambria Math"/>
                    </w:rPr>
                    <m:t>!</m:t>
                  </m:r>
                </m:num>
                <m:den>
                  <m:r>
                    <w:rPr>
                      <w:rFonts w:ascii="Cambria Math" w:hAnsi="Cambria Math"/>
                    </w:rPr>
                    <m:t>4π</m:t>
                  </m:r>
                  <m:d>
                    <m:dPr>
                      <m:ctrlPr>
                        <w:rPr>
                          <w:rFonts w:ascii="Cambria Math" w:hAnsi="Cambria Math"/>
                          <w:i/>
                        </w:rPr>
                      </m:ctrlPr>
                    </m:dPr>
                    <m:e>
                      <m:r>
                        <w:rPr>
                          <w:rFonts w:ascii="Cambria Math" w:hAnsi="Cambria Math"/>
                        </w:rPr>
                        <m:t>l</m:t>
                      </m:r>
                      <m:r>
                        <w:rPr>
                          <w:rFonts w:ascii="Cambria Math" w:hAnsi="Cambria Math"/>
                        </w:rPr>
                        <m:t>+</m:t>
                      </m:r>
                      <m:d>
                        <m:dPr>
                          <m:begChr m:val="|"/>
                          <m:endChr m:val="|"/>
                          <m:ctrlPr>
                            <w:rPr>
                              <w:rFonts w:ascii="Cambria Math" w:hAnsi="Cambria Math"/>
                              <w:i/>
                            </w:rPr>
                          </m:ctrlPr>
                        </m:dPr>
                        <m:e>
                          <m:r>
                            <w:rPr>
                              <w:rFonts w:ascii="Cambria Math" w:hAnsi="Cambria Math"/>
                            </w:rPr>
                            <m:t>m</m:t>
                          </m:r>
                        </m:e>
                      </m:d>
                    </m:e>
                  </m:d>
                  <m:r>
                    <w:rPr>
                      <w:rFonts w:ascii="Cambria Math" w:hAnsi="Cambria Math"/>
                    </w:rPr>
                    <m:t>!</m:t>
                  </m:r>
                </m:den>
              </m:f>
            </m:e>
          </m:rad>
        </m:oMath>
      </m:oMathPara>
    </w:p>
    <w:p w14:paraId="75C1C39C" w14:textId="69D15B60" w:rsidR="00EE4C15" w:rsidRDefault="008C7FDC">
      <w:r w:rsidRPr="008C7FDC">
        <w:rPr>
          <w:rFonts w:hint="eastAsia"/>
        </w:rPr>
        <w:t>上面的定义是针对复杂形式（非图形文献中最常用的形式），通过转换给出</w:t>
      </w:r>
      <w:r>
        <w:rPr>
          <w:rFonts w:hint="eastAsia"/>
        </w:rPr>
        <w:t>基函数</w:t>
      </w:r>
    </w:p>
    <w:p w14:paraId="06456AEB" w14:textId="13D0FAB8" w:rsidR="008C7FDC" w:rsidRPr="00F575BC" w:rsidRDefault="008C7FDC">
      <m:oMathPara>
        <m:oMath>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rPr>
                        <m:t>2</m:t>
                      </m:r>
                    </m:e>
                  </m:rad>
                  <m:r>
                    <w:rPr>
                      <w:rFonts w:ascii="Cambria Math" w:hAnsi="Cambria Math"/>
                    </w:rPr>
                    <m:t>Re</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e>
                  </m:d>
                  <m:r>
                    <w:rPr>
                      <w:rFonts w:ascii="Cambria Math" w:hAnsi="Cambria Math"/>
                    </w:rPr>
                    <m:t>,   m&gt;0</m:t>
                  </m:r>
                </m:e>
                <m:e>
                  <m:rad>
                    <m:radPr>
                      <m:degHide m:val="1"/>
                      <m:ctrlPr>
                        <w:rPr>
                          <w:rFonts w:ascii="Cambria Math" w:hAnsi="Cambria Math"/>
                          <w:i/>
                        </w:rPr>
                      </m:ctrlPr>
                    </m:radPr>
                    <m:deg/>
                    <m:e>
                      <m:r>
                        <w:rPr>
                          <w:rFonts w:ascii="Cambria Math" w:hAnsi="Cambria Math"/>
                        </w:rPr>
                        <m:t>2</m:t>
                      </m:r>
                    </m:e>
                  </m:rad>
                  <m:r>
                    <w:rPr>
                      <w:rFonts w:ascii="Cambria Math" w:hAnsi="Cambria Math"/>
                    </w:rPr>
                    <m:t>Im</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e>
                  </m:d>
                  <m:r>
                    <w:rPr>
                      <w:rFonts w:ascii="Cambria Math" w:hAnsi="Cambria Math"/>
                    </w:rPr>
                    <m:t>,   m&gt;0</m:t>
                  </m:r>
                </m:e>
                <m:e>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0</m:t>
                      </m:r>
                    </m:sup>
                  </m:sSubSup>
                  <m:r>
                    <w:rPr>
                      <w:rFonts w:ascii="Cambria Math" w:hAnsi="Cambria Math"/>
                    </w:rPr>
                    <m:t>,                   m=0</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rPr>
                        <m:t>2</m:t>
                      </m:r>
                    </m:e>
                  </m:rad>
                  <m:sSubSup>
                    <m:sSubSupPr>
                      <m:ctrlPr>
                        <w:rPr>
                          <w:rFonts w:ascii="Cambria Math" w:hAnsi="Cambria Math"/>
                          <w:i/>
                        </w:rPr>
                      </m:ctrlPr>
                    </m:sSubSupPr>
                    <m:e>
                      <m:r>
                        <w:rPr>
                          <w:rFonts w:ascii="Cambria Math" w:hAnsi="Cambria Math"/>
                        </w:rPr>
                        <m:t>K</m:t>
                      </m:r>
                    </m:e>
                    <m:sub>
                      <m:r>
                        <w:rPr>
                          <w:rFonts w:ascii="Cambria Math" w:hAnsi="Cambria Math"/>
                        </w:rPr>
                        <m:t>l</m:t>
                      </m:r>
                    </m:sub>
                    <m:sup>
                      <m:r>
                        <w:rPr>
                          <w:rFonts w:ascii="Cambria Math" w:hAnsi="Cambria Math"/>
                        </w:rPr>
                        <m:t>m</m:t>
                      </m:r>
                    </m:sup>
                  </m:sSubSup>
                  <m:func>
                    <m:funcPr>
                      <m:ctrlPr>
                        <w:rPr>
                          <w:rFonts w:ascii="Cambria Math" w:hAnsi="Cambria Math"/>
                          <w:i/>
                        </w:rPr>
                      </m:ctrlPr>
                    </m:funcPr>
                    <m:fName>
                      <m:r>
                        <m:rPr>
                          <m:sty m:val="p"/>
                        </m:rPr>
                        <w:rPr>
                          <w:rFonts w:ascii="Cambria Math" w:hAnsi="Cambria Math"/>
                        </w:rPr>
                        <m:t>cos</m:t>
                      </m:r>
                    </m:fName>
                    <m:e>
                      <m:r>
                        <w:rPr>
                          <w:rFonts w:ascii="Cambria Math" w:hAnsi="Cambria Math"/>
                        </w:rPr>
                        <m:t>mφ</m:t>
                      </m:r>
                    </m:e>
                  </m:func>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m:t>
                      </m:r>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r>
                    <w:rPr>
                      <w:rFonts w:ascii="Cambria Math" w:hAnsi="Cambria Math"/>
                    </w:rPr>
                    <m:t>,    m&gt;0</m:t>
                  </m:r>
                </m:e>
                <m:e>
                  <m:rad>
                    <m:radPr>
                      <m:degHide m:val="1"/>
                      <m:ctrlPr>
                        <w:rPr>
                          <w:rFonts w:ascii="Cambria Math" w:hAnsi="Cambria Math"/>
                          <w:i/>
                        </w:rPr>
                      </m:ctrlPr>
                    </m:radPr>
                    <m:deg/>
                    <m:e>
                      <m:r>
                        <w:rPr>
                          <w:rFonts w:ascii="Cambria Math" w:hAnsi="Cambria Math"/>
                        </w:rPr>
                        <m:t>2</m:t>
                      </m:r>
                    </m:e>
                  </m:rad>
                  <m:sSubSup>
                    <m:sSubSupPr>
                      <m:ctrlPr>
                        <w:rPr>
                          <w:rFonts w:ascii="Cambria Math" w:hAnsi="Cambria Math"/>
                          <w:i/>
                        </w:rPr>
                      </m:ctrlPr>
                    </m:sSubSupPr>
                    <m:e>
                      <m:r>
                        <w:rPr>
                          <w:rFonts w:ascii="Cambria Math" w:hAnsi="Cambria Math"/>
                        </w:rPr>
                        <m:t>K</m:t>
                      </m:r>
                    </m:e>
                    <m:sub>
                      <m:r>
                        <w:rPr>
                          <w:rFonts w:ascii="Cambria Math" w:hAnsi="Cambria Math"/>
                        </w:rPr>
                        <m:t>l</m:t>
                      </m:r>
                    </m:sub>
                    <m:sup>
                      <m:r>
                        <w:rPr>
                          <w:rFonts w:ascii="Cambria Math" w:hAnsi="Cambria Math"/>
                        </w:rPr>
                        <m:t>m</m:t>
                      </m:r>
                    </m:sup>
                  </m:sSubSup>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m</m:t>
                          </m:r>
                        </m:e>
                      </m:d>
                      <m:r>
                        <w:rPr>
                          <w:rFonts w:ascii="Cambria Math" w:hAnsi="Cambria Math"/>
                        </w:rPr>
                        <m:t>φ</m:t>
                      </m:r>
                    </m:e>
                  </m:func>
                  <m:sSubSup>
                    <m:sSubSupPr>
                      <m:ctrlPr>
                        <w:rPr>
                          <w:rFonts w:ascii="Cambria Math" w:hAnsi="Cambria Math"/>
                          <w:i/>
                        </w:rPr>
                      </m:ctrlPr>
                    </m:sSubSupPr>
                    <m:e>
                      <m:r>
                        <w:rPr>
                          <w:rFonts w:ascii="Cambria Math" w:hAnsi="Cambria Math"/>
                        </w:rPr>
                        <m:t>P</m:t>
                      </m:r>
                    </m:e>
                    <m:sub>
                      <m:r>
                        <w:rPr>
                          <w:rFonts w:ascii="Cambria Math" w:hAnsi="Cambria Math"/>
                        </w:rPr>
                        <m:t>l</m:t>
                      </m:r>
                    </m:sub>
                    <m:sup>
                      <m:d>
                        <m:dPr>
                          <m:begChr m:val="|"/>
                          <m:endChr m:val="|"/>
                          <m:ctrlPr>
                            <w:rPr>
                              <w:rFonts w:ascii="Cambria Math" w:hAnsi="Cambria Math"/>
                              <w:i/>
                            </w:rPr>
                          </m:ctrlPr>
                        </m:dPr>
                        <m:e>
                          <m:r>
                            <w:rPr>
                              <w:rFonts w:ascii="Cambria Math" w:hAnsi="Cambria Math"/>
                            </w:rPr>
                            <m:t>m</m:t>
                          </m:r>
                        </m:e>
                      </m:d>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r>
                    <w:rPr>
                      <w:rFonts w:ascii="Cambria Math" w:hAnsi="Cambria Math"/>
                    </w:rPr>
                    <m:t>,   m&lt;0</m:t>
                  </m:r>
                </m:e>
                <m:e>
                  <m:sSubSup>
                    <m:sSubSupPr>
                      <m:ctrlPr>
                        <w:rPr>
                          <w:rFonts w:ascii="Cambria Math" w:hAnsi="Cambria Math"/>
                          <w:i/>
                        </w:rPr>
                      </m:ctrlPr>
                    </m:sSubSupPr>
                    <m:e>
                      <m:r>
                        <w:rPr>
                          <w:rFonts w:ascii="Cambria Math" w:hAnsi="Cambria Math"/>
                        </w:rPr>
                        <m:t>K</m:t>
                      </m:r>
                    </m:e>
                    <m:sub>
                      <m:r>
                        <w:rPr>
                          <w:rFonts w:ascii="Cambria Math" w:hAnsi="Cambria Math"/>
                        </w:rPr>
                        <m:t>l</m:t>
                      </m:r>
                    </m:sub>
                    <m:sup>
                      <m:r>
                        <w:rPr>
                          <w:rFonts w:ascii="Cambria Math" w:hAnsi="Cambria Math"/>
                        </w:rPr>
                        <m:t>0</m:t>
                      </m:r>
                    </m:sup>
                  </m:sSubSup>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0</m:t>
                      </m:r>
                    </m:sup>
                  </m:sSub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r>
                    <w:rPr>
                      <w:rFonts w:ascii="Cambria Math" w:hAnsi="Cambria Math"/>
                    </w:rPr>
                    <m:t>,                            m=0</m:t>
                  </m:r>
                </m:e>
              </m:eqArr>
            </m:e>
          </m:d>
        </m:oMath>
      </m:oMathPara>
    </w:p>
    <w:p w14:paraId="532F3218" w14:textId="54A1A6F9" w:rsidR="00F575BC" w:rsidRDefault="00F575BC"/>
    <w:p w14:paraId="588F79A5" w14:textId="19D2909B" w:rsidR="00F575BC" w:rsidRDefault="00F575BC">
      <w:r>
        <w:tab/>
      </w:r>
      <w:r w:rsidRPr="00F575BC">
        <w:rPr>
          <w:rFonts w:hint="eastAsia"/>
        </w:rPr>
        <w:t>索引</w:t>
      </w:r>
      <m:oMath>
        <m:r>
          <w:rPr>
            <w:rFonts w:ascii="Cambria Math" w:hAnsi="Cambria Math"/>
          </w:rPr>
          <m:t>l</m:t>
        </m:r>
      </m:oMath>
      <w:r w:rsidRPr="00F575BC">
        <w:t>代表“带”，每个带等效于该多项式</w:t>
      </w:r>
      <w:r>
        <w:rPr>
          <w:rFonts w:hint="eastAsia"/>
        </w:rPr>
        <w:t>的次数</w:t>
      </w:r>
      <w:r w:rsidRPr="00F575BC">
        <w:t>（因此零只是一个常数函数，1是线性），并且在给定的带中有</w:t>
      </w:r>
      <m:oMath>
        <m:r>
          <w:rPr>
            <w:rFonts w:ascii="Cambria Math" w:hAnsi="Cambria Math" w:hint="eastAsia"/>
          </w:rPr>
          <m:t>2</m:t>
        </m:r>
        <m:r>
          <w:rPr>
            <w:rFonts w:ascii="Cambria Math" w:hAnsi="Cambria Math"/>
          </w:rPr>
          <m:t>l</m:t>
        </m:r>
        <m:r>
          <w:rPr>
            <w:rFonts w:ascii="Cambria Math" w:hAnsi="Cambria Math" w:hint="eastAsia"/>
          </w:rPr>
          <m:t>+1</m:t>
        </m:r>
      </m:oMath>
      <w:r w:rsidRPr="00F575BC">
        <w:t>个函数。 在计算积分时很方便，它们也可以使用多项式表示，就像在评估它们时通常所做的那样（有关详细信息，请参见附录A1评估SH基函数的递归规则和附录A2 SH基多项式形式。）</w:t>
      </w:r>
      <w:r>
        <w:rPr>
          <w:rFonts w:hint="eastAsia"/>
        </w:rPr>
        <w:t>n阶</w:t>
      </w:r>
      <w:r w:rsidRPr="00F575BC">
        <w:t>SH使用所有通过n-1阶的基函数</w:t>
      </w:r>
      <w:r>
        <w:rPr>
          <w:rFonts w:hint="eastAsia"/>
        </w:rPr>
        <w:t>展开</w:t>
      </w:r>
      <w:r w:rsidRPr="00F575BC">
        <w:t>。</w:t>
      </w:r>
    </w:p>
    <w:p w14:paraId="3E0258E9" w14:textId="6D2CAC58" w:rsidR="00F575BC" w:rsidRDefault="00F575BC">
      <w:r>
        <w:tab/>
      </w:r>
      <w:r w:rsidRPr="00F575BC">
        <w:rPr>
          <w:rFonts w:hint="eastAsia"/>
        </w:rPr>
        <w:t>球谐函数可以通过两种方式可视化：一种标准方法是通过按函数的绝对值径向缩放每个点并根据符号对其进行着色（红色表示正，蓝色表示负）对单位球面进行变形。</w:t>
      </w:r>
      <w:r w:rsidRPr="00F575BC">
        <w:t xml:space="preserve"> 上面是使用此技术的前三个频段的图像。</w:t>
      </w:r>
    </w:p>
    <w:p w14:paraId="65DC8BBA" w14:textId="64AE95DD" w:rsidR="00F575BC" w:rsidRDefault="00F575BC">
      <w:r>
        <w:tab/>
      </w:r>
      <w:r w:rsidRPr="00F575BC">
        <w:rPr>
          <w:rFonts w:hint="eastAsia"/>
        </w:rPr>
        <w:t>中心列（</w:t>
      </w:r>
      <m:oMath>
        <m:r>
          <w:rPr>
            <w:rFonts w:ascii="Cambria Math" w:hAnsi="Cambria Math"/>
          </w:rPr>
          <m:t>l</m:t>
        </m:r>
      </m:oMath>
      <w:r w:rsidRPr="00F575BC">
        <w:t xml:space="preserve"> = 0）中的函数称为区域谐波（ZH），稍后将进行讨论，这些函数围绕z轴具有旋转对称性，并且零（函数为零的位置）是球面上平行的轮廓</w:t>
      </w:r>
      <m:oMath>
        <m:d>
          <m:dPr>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m</m:t>
                </m:r>
              </m:e>
            </m:d>
          </m:e>
        </m:d>
      </m:oMath>
      <w:r w:rsidRPr="00F575BC">
        <w:t>的函数被称为扇形谐波，而零则定义了像苹果片一样的区域。</w:t>
      </w:r>
    </w:p>
    <w:p w14:paraId="18B828DD" w14:textId="26DC4E4F" w:rsidR="0078147C" w:rsidRDefault="0078147C">
      <w:r>
        <w:tab/>
      </w:r>
      <w:r w:rsidRPr="0078147C">
        <w:rPr>
          <w:rFonts w:hint="eastAsia"/>
        </w:rPr>
        <w:t>另一种可视化方法是使用展开到平面上的立方体贴图的参数化绘制它们。立方体贴图的展开如下</w:t>
      </w:r>
      <w:r>
        <w:rPr>
          <w:rFonts w:hint="eastAsia"/>
        </w:rPr>
        <w:t>：</w:t>
      </w:r>
    </w:p>
    <w:p w14:paraId="6CB50064" w14:textId="49F6DE31" w:rsidR="0078147C" w:rsidRDefault="0078147C" w:rsidP="0078147C">
      <w:pPr>
        <w:jc w:val="center"/>
      </w:pPr>
      <w:r>
        <w:rPr>
          <w:noProof/>
        </w:rPr>
        <w:drawing>
          <wp:inline distT="0" distB="0" distL="0" distR="0" wp14:anchorId="0006F8B4" wp14:editId="267FB762">
            <wp:extent cx="2105025" cy="1533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025" cy="1533525"/>
                    </a:xfrm>
                    <a:prstGeom prst="rect">
                      <a:avLst/>
                    </a:prstGeom>
                  </pic:spPr>
                </pic:pic>
              </a:graphicData>
            </a:graphic>
          </wp:inline>
        </w:drawing>
      </w:r>
    </w:p>
    <w:p w14:paraId="1EB6EA39" w14:textId="2A4A2A34" w:rsidR="0078147C" w:rsidRDefault="0078147C">
      <w:r>
        <w:tab/>
      </w:r>
      <w:r w:rsidRPr="0078147C">
        <w:rPr>
          <w:rFonts w:hint="eastAsia"/>
        </w:rPr>
        <w:t>在这里，</w:t>
      </w:r>
      <w:r>
        <w:rPr>
          <w:rFonts w:hint="eastAsia"/>
        </w:rPr>
        <w:t>大小</w:t>
      </w:r>
      <w:r w:rsidRPr="0078147C">
        <w:rPr>
          <w:rFonts w:hint="eastAsia"/>
        </w:rPr>
        <w:t>用颜色（红色正，蓝色负，零绿色）编码，并且等强度线轮廓被均匀放置（白线），以使函数的梯度更直观（当它们聚集在一起时，函数变化速度更快</w:t>
      </w:r>
      <w:r w:rsidRPr="0078147C">
        <w:t>）</w:t>
      </w:r>
      <w:r w:rsidR="001041AB">
        <w:rPr>
          <w:rFonts w:hint="eastAsia"/>
        </w:rPr>
        <w:t>。</w:t>
      </w:r>
    </w:p>
    <w:p w14:paraId="7A41C4C9" w14:textId="48274031" w:rsidR="001041AB" w:rsidRDefault="001041AB"/>
    <w:p w14:paraId="24D6644E" w14:textId="3972A2E9" w:rsidR="001041AB" w:rsidRDefault="001041AB">
      <w:r w:rsidRPr="001041AB">
        <w:rPr>
          <w:rFonts w:hint="eastAsia"/>
          <w:b/>
          <w:bCs/>
        </w:rPr>
        <w:t>投影和重建</w:t>
      </w:r>
      <w:r>
        <w:rPr>
          <w:rFonts w:hint="eastAsia"/>
        </w:rPr>
        <w:t xml:space="preserve"> 由于SH基是正交的，因此定义在S上的任意标量函数f的最小二乘投影可以通过简单地对想要投影函数作积分就能获得。</w:t>
      </w:r>
    </w:p>
    <w:p w14:paraId="7DE0A4B3" w14:textId="1F7BE437" w:rsidR="001041AB" w:rsidRPr="001041AB" w:rsidRDefault="001041AB">
      <m:oMathPara>
        <m:oMath>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m</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s</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s</m:t>
                  </m:r>
                </m:e>
              </m:d>
              <m:r>
                <w:rPr>
                  <w:rFonts w:ascii="Cambria Math" w:hAnsi="Cambria Math"/>
                </w:rPr>
                <m:t>ds</m:t>
              </m:r>
            </m:e>
          </m:nary>
        </m:oMath>
      </m:oMathPara>
    </w:p>
    <w:p w14:paraId="6EEED03E" w14:textId="5B8F47F5" w:rsidR="001041AB" w:rsidRDefault="001041AB">
      <w:r>
        <w:rPr>
          <w:rFonts w:hint="eastAsia"/>
        </w:rPr>
        <w:t>这些系数可以用来重建函数</w:t>
      </w:r>
      <w:r>
        <w:rPr>
          <w:rFonts w:hint="eastAsia"/>
        </w:rPr>
        <w:t>f</w:t>
      </w:r>
      <w:r>
        <w:rPr>
          <w:rFonts w:hint="eastAsia"/>
        </w:rPr>
        <w:t>的近似</w:t>
      </w:r>
    </w:p>
    <w:p w14:paraId="22C86AFB" w14:textId="6CAA1103" w:rsidR="001041AB" w:rsidRDefault="001041AB">
      <w:pPr>
        <w:rPr>
          <w:rFonts w:hint="eastAsia"/>
        </w:rPr>
      </w:pPr>
      <m:oMathPara>
        <m:oMath>
          <m:acc>
            <m:accPr>
              <m:chr m:val="̃"/>
              <m:ctrlPr>
                <w:rPr>
                  <w:rFonts w:ascii="Cambria Math" w:hAnsi="Cambria Math"/>
                  <w:i/>
                </w:rPr>
              </m:ctrlPr>
            </m:accPr>
            <m:e>
              <m:r>
                <w:rPr>
                  <w:rFonts w:ascii="Cambria Math" w:hAnsi="Cambria Math" w:hint="eastAsia"/>
                </w:rPr>
                <m:t>f</m:t>
              </m:r>
            </m:e>
          </m:acc>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m=-l</m:t>
                  </m:r>
                </m:sub>
                <m:sup>
                  <m:r>
                    <w:rPr>
                      <w:rFonts w:ascii="Cambria Math" w:hAnsi="Cambria Math"/>
                    </w:rPr>
                    <m:t>l</m:t>
                  </m:r>
                </m:sup>
                <m:e>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m</m:t>
                      </m:r>
                    </m:sup>
                  </m:sSubSup>
                </m:e>
              </m:nary>
            </m:e>
          </m:nary>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s</m:t>
              </m:r>
            </m:e>
          </m:d>
        </m:oMath>
      </m:oMathPara>
    </w:p>
    <w:p w14:paraId="5634413C" w14:textId="50DD8877" w:rsidR="001041AB" w:rsidRDefault="001041AB">
      <w:r>
        <w:rPr>
          <w:noProof/>
        </w:rPr>
        <w:lastRenderedPageBreak/>
        <w:drawing>
          <wp:inline distT="0" distB="0" distL="0" distR="0" wp14:anchorId="60A393F6" wp14:editId="0C6F70E1">
            <wp:extent cx="5274310" cy="41948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94810"/>
                    </a:xfrm>
                    <a:prstGeom prst="rect">
                      <a:avLst/>
                    </a:prstGeom>
                  </pic:spPr>
                </pic:pic>
              </a:graphicData>
            </a:graphic>
          </wp:inline>
        </w:drawing>
      </w:r>
    </w:p>
    <w:p w14:paraId="5DC91293" w14:textId="52BB4795" w:rsidR="00743D1D" w:rsidRDefault="00743D1D">
      <w:r>
        <w:tab/>
      </w:r>
      <w:r w:rsidRPr="00743D1D">
        <w:rPr>
          <w:rFonts w:hint="eastAsia"/>
        </w:rPr>
        <w:t>随着</w:t>
      </w:r>
      <w:r w:rsidRPr="00743D1D">
        <w:t>n的数量增加，精度越来越高。本文着重于f的低频近似，对于更高频率的表示，其他基数往往会做得更好。投影到n阶会生成</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743D1D">
        <w:t>个系数，通过以下方式对投影系数和基函数使用单个索引</w:t>
      </w:r>
      <w:r>
        <w:rPr>
          <w:rFonts w:hint="eastAsia"/>
        </w:rPr>
        <w:t>会比较</w:t>
      </w:r>
      <w:r w:rsidRPr="00743D1D">
        <w:t>方便</w:t>
      </w:r>
    </w:p>
    <w:p w14:paraId="75B5EE7A" w14:textId="0666C60E" w:rsidR="00743D1D" w:rsidRPr="00743D1D" w:rsidRDefault="00743D1D">
      <m:oMathPara>
        <m:oMath>
          <m:acc>
            <m:accPr>
              <m:chr m:val="̃"/>
              <m:ctrlPr>
                <w:rPr>
                  <w:rFonts w:ascii="Cambria Math" w:hAnsi="Cambria Math"/>
                  <w:i/>
                </w:rPr>
              </m:ctrlPr>
            </m:accPr>
            <m:e>
              <m:r>
                <w:rPr>
                  <w:rFonts w:ascii="Cambria Math" w:hAnsi="Cambria Math" w:hint="eastAsia"/>
                </w:rPr>
                <m:t>f</m:t>
              </m:r>
            </m:e>
          </m:acc>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2</m:t>
                  </m:r>
                </m:sup>
              </m:sSup>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s</m:t>
                  </m:r>
                </m:e>
              </m:d>
            </m:e>
          </m:nary>
        </m:oMath>
      </m:oMathPara>
    </w:p>
    <w:p w14:paraId="2FC8ABF4" w14:textId="10BBE052" w:rsidR="00743D1D" w:rsidRDefault="00743D1D">
      <w:r>
        <w:rPr>
          <w:rFonts w:hint="eastAsia"/>
        </w:rPr>
        <w:t>其中</w:t>
      </w:r>
      <m:oMath>
        <m:r>
          <w:rPr>
            <w:rFonts w:ascii="Cambria Math" w:hAnsi="Cambria Math"/>
          </w:rPr>
          <m:t>i=l</m:t>
        </m:r>
        <m:d>
          <m:dPr>
            <m:ctrlPr>
              <w:rPr>
                <w:rFonts w:ascii="Cambria Math" w:hAnsi="Cambria Math"/>
                <w:i/>
              </w:rPr>
            </m:ctrlPr>
          </m:dPr>
          <m:e>
            <m:r>
              <w:rPr>
                <w:rFonts w:ascii="Cambria Math" w:hAnsi="Cambria Math"/>
              </w:rPr>
              <m:t>l+1</m:t>
            </m:r>
          </m:e>
        </m:d>
        <m:r>
          <w:rPr>
            <w:rFonts w:ascii="Cambria Math" w:hAnsi="Cambria Math"/>
          </w:rPr>
          <m:t>+m</m:t>
        </m:r>
      </m:oMath>
      <w:r>
        <w:rPr>
          <w:rFonts w:hint="eastAsia"/>
        </w:rPr>
        <w:t>.</w:t>
      </w:r>
      <w:r>
        <w:t xml:space="preserve"> </w:t>
      </w:r>
      <w:r>
        <w:rPr>
          <w:rFonts w:hint="eastAsia"/>
        </w:rPr>
        <w:t>该公式使得在方向s上计算近似函数很容易，仅仅在</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543944" w:rsidRPr="00743D1D">
        <w:t>个系数</w:t>
      </w:r>
      <w:r w:rsidR="00543944">
        <w:rPr>
          <w:rFonts w:hint="eastAsia"/>
        </w:rPr>
        <w:t>向量</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543944">
        <w:rPr>
          <w:rFonts w:hint="eastAsia"/>
        </w:rPr>
        <w:t>和基向量函数</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s</m:t>
            </m:r>
          </m:e>
        </m:d>
      </m:oMath>
      <w:r w:rsidR="00543944">
        <w:rPr>
          <w:rFonts w:hint="eastAsia"/>
        </w:rPr>
        <w:t>作点乘运算.</w:t>
      </w:r>
      <w:r w:rsidR="00543944">
        <w:t xml:space="preserve"> </w:t>
      </w:r>
      <w:r w:rsidR="00543944">
        <w:rPr>
          <w:rFonts w:hint="eastAsia"/>
        </w:rPr>
        <w:t>第一个系数(</w:t>
      </w:r>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0</m:t>
            </m:r>
          </m:sup>
        </m:sSubSup>
      </m:oMath>
      <w:r w:rsidR="00543944">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543944">
        <w:t>)</w:t>
      </w:r>
      <w:r w:rsidR="00543944">
        <w:rPr>
          <w:rFonts w:hint="eastAsia"/>
        </w:rPr>
        <w:t>表示函数在球面上的平均值，有时也被称为DC项。</w:t>
      </w:r>
    </w:p>
    <w:p w14:paraId="12996ECD" w14:textId="233C6D1D" w:rsidR="00543944" w:rsidRDefault="00543944"/>
    <w:p w14:paraId="6032C5AE" w14:textId="18E92AB5" w:rsidR="00543944" w:rsidRDefault="00543944">
      <w:r w:rsidRPr="00F95035">
        <w:rPr>
          <w:rFonts w:hint="eastAsia"/>
          <w:b/>
          <w:bCs/>
        </w:rPr>
        <w:t>基础属性</w:t>
      </w:r>
      <w:r>
        <w:rPr>
          <w:rFonts w:hint="eastAsia"/>
        </w:rPr>
        <w:t xml:space="preserve"> SH的一个重要属性是投影如何与旋转交互.</w:t>
      </w:r>
      <w:r>
        <w:t xml:space="preserve"> </w:t>
      </w:r>
      <w:r>
        <w:rPr>
          <w:rFonts w:hint="eastAsia"/>
        </w:rPr>
        <w:t>给定一个函数</w:t>
      </w:r>
      <m:oMath>
        <m:r>
          <w:rPr>
            <w:rFonts w:ascii="Cambria Math" w:hAnsi="Cambria Math"/>
          </w:rPr>
          <m:t>g</m:t>
        </m:r>
        <m:d>
          <m:dPr>
            <m:ctrlPr>
              <w:rPr>
                <w:rFonts w:ascii="Cambria Math" w:hAnsi="Cambria Math"/>
                <w:i/>
              </w:rPr>
            </m:ctrlPr>
          </m:dPr>
          <m:e>
            <m:r>
              <w:rPr>
                <w:rFonts w:ascii="Cambria Math" w:hAnsi="Cambria Math"/>
              </w:rPr>
              <m:t>s</m:t>
            </m:r>
          </m:e>
        </m:d>
      </m:oMath>
      <w:r>
        <w:rPr>
          <w:rFonts w:hint="eastAsia"/>
        </w:rPr>
        <w:t>，其代表函数</w:t>
      </w:r>
      <m:oMath>
        <m:r>
          <w:rPr>
            <w:rFonts w:ascii="Cambria Math" w:hAnsi="Cambria Math"/>
          </w:rPr>
          <m:t>f</m:t>
        </m:r>
        <m:d>
          <m:dPr>
            <m:ctrlPr>
              <w:rPr>
                <w:rFonts w:ascii="Cambria Math" w:hAnsi="Cambria Math"/>
                <w:i/>
              </w:rPr>
            </m:ctrlPr>
          </m:dPr>
          <m:e>
            <m:r>
              <w:rPr>
                <w:rFonts w:ascii="Cambria Math" w:hAnsi="Cambria Math"/>
              </w:rPr>
              <m:t>s</m:t>
            </m:r>
          </m:e>
        </m:d>
      </m:oMath>
      <w:r>
        <w:rPr>
          <w:rFonts w:hint="eastAsia"/>
        </w:rPr>
        <w:t>被旋转矩阵Q旋转，因此</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s</m:t>
                </m:r>
              </m:e>
            </m:d>
          </m:e>
        </m:d>
      </m:oMath>
      <w:r>
        <w:rPr>
          <w:rFonts w:hint="eastAsia"/>
        </w:rPr>
        <w:t>的投影等于先旋转</w:t>
      </w:r>
      <m:oMath>
        <m:acc>
          <m:accPr>
            <m:chr m:val="̃"/>
            <m:ctrlPr>
              <w:rPr>
                <w:rFonts w:ascii="Cambria Math" w:hAnsi="Cambria Math"/>
                <w:i/>
              </w:rPr>
            </m:ctrlPr>
          </m:accPr>
          <m:e>
            <m:r>
              <w:rPr>
                <w:rFonts w:ascii="Cambria Math" w:hAnsi="Cambria Math"/>
              </w:rPr>
              <m:t>f</m:t>
            </m:r>
          </m:e>
        </m:acc>
      </m:oMath>
      <w:r>
        <w:rPr>
          <w:rFonts w:hint="eastAsia"/>
        </w:rPr>
        <w:t>再投影.</w:t>
      </w:r>
      <w:r>
        <w:t xml:space="preserve"> </w:t>
      </w:r>
      <w:r w:rsidR="00F95035" w:rsidRPr="00F95035">
        <w:rPr>
          <w:rFonts w:hint="eastAsia"/>
        </w:rPr>
        <w:t>这种旋转不变性与傅立叶变换中的平移不变性相似。这意味着，例如，光照在旋转下将保持稳定，因此不会出现任何混叠伪影或光源“摆动”。</w:t>
      </w:r>
    </w:p>
    <w:p w14:paraId="441829AF" w14:textId="6E0406CC" w:rsidR="00F95035" w:rsidRDefault="00F95035"/>
    <w:p w14:paraId="2B85B35A" w14:textId="33033BEA" w:rsidR="00F95035" w:rsidRDefault="00F95035">
      <w:r>
        <w:rPr>
          <w:rFonts w:hint="eastAsia"/>
        </w:rPr>
        <w:t>由于SH</w:t>
      </w:r>
      <w:r w:rsidR="00C95349">
        <w:rPr>
          <w:rFonts w:hint="eastAsia"/>
        </w:rPr>
        <w:t>基的正交性，任意两个球谐函数</w:t>
      </w:r>
      <m:oMath>
        <m:r>
          <w:rPr>
            <w:rFonts w:ascii="Cambria Math" w:hAnsi="Cambria Math"/>
          </w:rPr>
          <m:t>a</m:t>
        </m:r>
      </m:oMath>
      <w:r w:rsidR="00C95349">
        <w:rPr>
          <w:rFonts w:hint="eastAsia"/>
        </w:rPr>
        <w:t>和</w:t>
      </w:r>
      <m:oMath>
        <m:r>
          <w:rPr>
            <w:rFonts w:ascii="Cambria Math" w:hAnsi="Cambria Math"/>
          </w:rPr>
          <m:t>b</m:t>
        </m:r>
      </m:oMath>
      <w:r w:rsidR="00C95349">
        <w:t xml:space="preserve">, </w:t>
      </w:r>
      <w:r w:rsidR="00C95349">
        <w:rPr>
          <w:rFonts w:hint="eastAsia"/>
        </w:rPr>
        <w:t>它们乘积的积分简单地等于系数向量的点乘</w:t>
      </w:r>
      <w:r w:rsidR="00622E04">
        <w:rPr>
          <w:rFonts w:hint="eastAsia"/>
        </w:rPr>
        <w:t>：</w:t>
      </w:r>
      <m:oMath>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m:t>
                </m:r>
              </m:e>
            </m:d>
            <m:acc>
              <m:accPr>
                <m:chr m:val="̃"/>
                <m:ctrlPr>
                  <w:rPr>
                    <w:rFonts w:ascii="Cambria Math" w:hAnsi="Cambria Math"/>
                    <w:i/>
                  </w:rPr>
                </m:ctrlPr>
              </m:accPr>
              <m:e>
                <m:r>
                  <w:rPr>
                    <w:rFonts w:ascii="Cambria Math" w:hAnsi="Cambria Math" w:hint="eastAsia"/>
                  </w:rPr>
                  <m:t>b</m:t>
                </m:r>
              </m:e>
            </m:acc>
            <m:d>
              <m:dPr>
                <m:ctrlPr>
                  <w:rPr>
                    <w:rFonts w:ascii="Cambria Math" w:hAnsi="Cambria Math"/>
                    <w:i/>
                  </w:rPr>
                </m:ctrlPr>
              </m:dPr>
              <m:e>
                <m:r>
                  <w:rPr>
                    <w:rFonts w:ascii="Cambria Math" w:hAnsi="Cambria Math"/>
                  </w:rPr>
                  <m:t>s</m:t>
                </m:r>
              </m:e>
            </m:d>
          </m:e>
        </m:nary>
        <m:r>
          <w:rPr>
            <w:rFonts w:ascii="Cambria Math" w:hAnsi="Cambria Math"/>
          </w:rPr>
          <m:t>=</m:t>
        </m:r>
        <m:nary>
          <m:naryPr>
            <m:chr m:val="∑"/>
            <m:limLoc m:val="subSup"/>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2</m:t>
                </m:r>
              </m:sup>
            </m:sSup>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oMath>
    </w:p>
    <w:p w14:paraId="1E1E531B" w14:textId="0C66F726" w:rsidR="00622E04" w:rsidRDefault="00622E04"/>
    <w:p w14:paraId="65241317" w14:textId="6C318DEB" w:rsidR="00622E04" w:rsidRPr="00622E04" w:rsidRDefault="00622E04">
      <w:pPr>
        <w:rPr>
          <w:rFonts w:hint="eastAsia"/>
        </w:rPr>
      </w:pPr>
      <w:r>
        <w:rPr>
          <w:rFonts w:hint="eastAsia"/>
        </w:rPr>
        <w:t xml:space="preserve">卷积 </w:t>
      </w:r>
      <w:bookmarkStart w:id="0" w:name="_GoBack"/>
      <w:bookmarkEnd w:id="0"/>
    </w:p>
    <w:sectPr w:rsidR="00622E04" w:rsidRPr="00622E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BCC2A" w14:textId="77777777" w:rsidR="00547F66" w:rsidRDefault="00547F66" w:rsidP="004B759F">
      <w:r>
        <w:separator/>
      </w:r>
    </w:p>
  </w:endnote>
  <w:endnote w:type="continuationSeparator" w:id="0">
    <w:p w14:paraId="3D8F0D92" w14:textId="77777777" w:rsidR="00547F66" w:rsidRDefault="00547F66" w:rsidP="004B7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0AAAE" w14:textId="77777777" w:rsidR="00547F66" w:rsidRDefault="00547F66" w:rsidP="004B759F">
      <w:r>
        <w:separator/>
      </w:r>
    </w:p>
  </w:footnote>
  <w:footnote w:type="continuationSeparator" w:id="0">
    <w:p w14:paraId="0C85D8F3" w14:textId="77777777" w:rsidR="00547F66" w:rsidRDefault="00547F66" w:rsidP="004B75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4F"/>
    <w:rsid w:val="000C7F4F"/>
    <w:rsid w:val="001041AB"/>
    <w:rsid w:val="00267A2D"/>
    <w:rsid w:val="003447E8"/>
    <w:rsid w:val="00407F44"/>
    <w:rsid w:val="004517A6"/>
    <w:rsid w:val="004B759F"/>
    <w:rsid w:val="00543944"/>
    <w:rsid w:val="00547F66"/>
    <w:rsid w:val="00622E04"/>
    <w:rsid w:val="00682979"/>
    <w:rsid w:val="00743D1D"/>
    <w:rsid w:val="0078147C"/>
    <w:rsid w:val="008C7FDC"/>
    <w:rsid w:val="00B61F16"/>
    <w:rsid w:val="00B83FA9"/>
    <w:rsid w:val="00C95349"/>
    <w:rsid w:val="00EE4C15"/>
    <w:rsid w:val="00EF0BB6"/>
    <w:rsid w:val="00F575BC"/>
    <w:rsid w:val="00F95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6E5F2"/>
  <w15:chartTrackingRefBased/>
  <w15:docId w15:val="{CB9C0227-EB84-4EAC-8AC7-3FCD92D9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75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759F"/>
    <w:rPr>
      <w:sz w:val="18"/>
      <w:szCs w:val="18"/>
    </w:rPr>
  </w:style>
  <w:style w:type="paragraph" w:styleId="a5">
    <w:name w:val="footer"/>
    <w:basedOn w:val="a"/>
    <w:link w:val="a6"/>
    <w:uiPriority w:val="99"/>
    <w:unhideWhenUsed/>
    <w:rsid w:val="004B759F"/>
    <w:pPr>
      <w:tabs>
        <w:tab w:val="center" w:pos="4153"/>
        <w:tab w:val="right" w:pos="8306"/>
      </w:tabs>
      <w:snapToGrid w:val="0"/>
      <w:jc w:val="left"/>
    </w:pPr>
    <w:rPr>
      <w:sz w:val="18"/>
      <w:szCs w:val="18"/>
    </w:rPr>
  </w:style>
  <w:style w:type="character" w:customStyle="1" w:styleId="a6">
    <w:name w:val="页脚 字符"/>
    <w:basedOn w:val="a0"/>
    <w:link w:val="a5"/>
    <w:uiPriority w:val="99"/>
    <w:rsid w:val="004B759F"/>
    <w:rPr>
      <w:sz w:val="18"/>
      <w:szCs w:val="18"/>
    </w:rPr>
  </w:style>
  <w:style w:type="character" w:styleId="a7">
    <w:name w:val="Hyperlink"/>
    <w:basedOn w:val="a0"/>
    <w:uiPriority w:val="99"/>
    <w:unhideWhenUsed/>
    <w:rsid w:val="004B759F"/>
    <w:rPr>
      <w:color w:val="0563C1" w:themeColor="hyperlink"/>
      <w:u w:val="single"/>
    </w:rPr>
  </w:style>
  <w:style w:type="character" w:styleId="a8">
    <w:name w:val="Unresolved Mention"/>
    <w:basedOn w:val="a0"/>
    <w:uiPriority w:val="99"/>
    <w:semiHidden/>
    <w:unhideWhenUsed/>
    <w:rsid w:val="004B759F"/>
    <w:rPr>
      <w:color w:val="605E5C"/>
      <w:shd w:val="clear" w:color="auto" w:fill="E1DFDD"/>
    </w:rPr>
  </w:style>
  <w:style w:type="character" w:styleId="a9">
    <w:name w:val="Placeholder Text"/>
    <w:basedOn w:val="a0"/>
    <w:uiPriority w:val="99"/>
    <w:semiHidden/>
    <w:rsid w:val="003447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psloan.org/publication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9</cp:revision>
  <dcterms:created xsi:type="dcterms:W3CDTF">2019-10-09T01:56:00Z</dcterms:created>
  <dcterms:modified xsi:type="dcterms:W3CDTF">2019-10-09T04:43:00Z</dcterms:modified>
</cp:coreProperties>
</file>