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Pr>
                <w:rFonts w:eastAsia="SimSun" w:cs="Mangal"/>
              </w:rPr>
              <w:t xml:space="preserve">Minchul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 xml:space="preserve">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 xml:space="preserve">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 xml:space="preserve">6.2.2 Visualization</w:t>
      </w:r>
    </w:p>
    <w:p w14:paraId="75D20A06" w14:textId="0878CB7E"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xml:space="preserve">: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 xml:space="preserve">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 xml:space="preserve">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 xml:space="preserve">6.5 Comparative Visualization: PCA vs. t-SNE</w:t>
      </w:r>
    </w:p>
    <w:p w14:paraId="35476BBD" w14:textId="5F341A2A" w:rsidR="00012C61" w:rsidRDefault="00B01DA9">
      <w:pPr>
        <w:spacing w:after="300"/>
        <w:jc w:val="center"/>
        <w:rPr>
          <w:i/>
          <w:iCs/>
          <w:sz w:val="18"/>
          <w:szCs w:val="18"/>
        </w:rPr>
      </w:pPr>
      <w:r>
        <w:rPr>
          <w:i/>
          <w:iCs/>
          <w:sz w:val="18"/>
          <w:szCs w:val="18"/>
        </w:rPr>
        <w:t xml:space="preserve">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 xml:space="preserve">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 xml:space="preserve">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r>
        <w:rPr>
          <w:i/>
          <w:iCs/>
          <w:lang w:val="en-GB"/>
        </w:rPr>
        <w:t>MMRAcquisitionAuctionAveragePrice</w:t>
      </w:r>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r>
        <w:rPr>
          <w:i/>
          <w:iCs/>
          <w:lang w:val="en-GB"/>
        </w:rPr>
        <w:t>VehOdo</w:t>
      </w:r>
      <w:r>
        <w:rPr>
          <w:lang w:val="en-GB"/>
        </w:rPr>
        <w:t xml:space="preserve">, </w:t>
      </w:r>
      <w:r>
        <w:rPr>
          <w:i/>
          <w:iCs/>
          <w:lang w:val="en-GB"/>
        </w:rPr>
        <w:t>MMRAcquisitionAuctionAveragePrice</w:t>
      </w:r>
      <w:r>
        <w:rPr>
          <w:lang w:val="en-GB"/>
        </w:rPr>
        <w:t xml:space="preserve">, and </w:t>
      </w:r>
      <w:r>
        <w:rPr>
          <w:i/>
          <w:iCs/>
          <w:lang w:val="en-GB"/>
        </w:rPr>
        <w:t>WarrantyCost</w:t>
      </w:r>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r>
        <w:rPr>
          <w:i/>
          <w:iCs/>
          <w:lang w:val="en-GB"/>
        </w:rPr>
        <w:t>VehOdo</w:t>
      </w:r>
      <w:r>
        <w:rPr>
          <w:lang w:val="en-GB"/>
        </w:rPr>
        <w:t xml:space="preserve"> (tens of thousands) would completely dominate </w:t>
      </w:r>
      <w:r>
        <w:rPr>
          <w:i/>
          <w:iCs/>
          <w:lang w:val="en-GB"/>
        </w:rPr>
        <w:t>WarrantyCost</w:t>
      </w:r>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r>
        <w:rPr>
          <w:i/>
          <w:iCs/>
        </w:rPr>
        <w:t>VehOdo</w:t>
      </w:r>
      <w:r>
        <w:t xml:space="preserve">, </w:t>
      </w:r>
      <w:r>
        <w:rPr>
          <w:i/>
          <w:iCs/>
        </w:rPr>
        <w:t>MMRAcquisitionAuctionAveragePrice</w:t>
      </w:r>
      <w:r>
        <w:t xml:space="preserve">, </w:t>
      </w:r>
      <w:r>
        <w:rPr>
          <w:i/>
          <w:iCs/>
        </w:rPr>
        <w:t>WarrantyCost</w:t>
      </w:r>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 xml:space="preserve">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3642" w:type="dxa"/>
            <w:shd w:val="clear" w:color="auto" w:fill="DDEBF7"/>
            <w:tcMar>
              <w:top w:w="100" w:type="dxa"/>
              <w:left w:w="100" w:type="dxa"/>
              <w:bottom w:w="100" w:type="dxa"/>
              <w:right w:w="100" w:type="dxa"/>
            </w:tcMar>
          </w:tcPr>
          <w:p w14:paraId="207ADA47" w14:textId="55A2462D" w:rsidR="00012C61" w:rsidRDefault="00806952">
            <w:r>
              <w:rPr>
                <w:b/>
                <w:bCs/>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 xml:space="preserve">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rPr>
        <w:t>VehOdo</w:t>
      </w:r>
      <w:r>
        <w:t xml:space="preserve">, </w:t>
      </w:r>
      <w:r>
        <w:rPr>
          <w:i/>
          <w:iCs/>
        </w:rPr>
        <w:t>MMRAcquisitionAuctionAveragePrice</w:t>
      </w:r>
      <w:r>
        <w:t xml:space="preserve">, and </w:t>
      </w:r>
      <w:r>
        <w:rPr>
          <w:i/>
          <w:iCs/>
        </w:rPr>
        <w:t>WarrantyCost</w:t>
      </w:r>
      <w:r>
        <w:t xml:space="preserve"> differ between the bad buy and non-bad-buy sides, rather than from the cluster boundary itself.</w:t>
      </w:r>
    </w:p>
    <w:p w14:paraId="3186E494" w14:textId="5DDD23CA" w:rsidR="00012C61" w:rsidRDefault="00000000">
      <w:pPr>
        <w:pStyle w:val="Heading3"/>
        <w:spacing w:before="200" w:after="100"/>
      </w:pPr>
      <w:r>
        <w:t xml:space="preserve">7.2.4 Normalization/Standardization Discussion</w:t>
      </w:r>
    </w:p>
    <w:p w14:paraId="1EFBDA68" w14:textId="7EFA7F83" w:rsidR="00012C61" w:rsidRDefault="00F3416F">
      <w:pPr>
        <w:spacing w:after="150"/>
      </w:pPr>
      <w:r>
        <w:t xml:space="preserve">Standardization was applied prior to clustering (Section 7.1). Without it, </w:t>
      </w:r>
      <w:r>
        <w:rPr>
          <w:i/>
          <w:iCs/>
        </w:rPr>
        <w:t>VehOdo</w:t>
      </w:r>
      <w:r>
        <w:t xml:space="preserve"> (with values in the tens of thousands) would dominate the Euclidean distance calculation relative to </w:t>
      </w:r>
      <w:r>
        <w:rPr>
          <w:i/>
          <w:iCs/>
        </w:rPr>
        <w:t>WarrantyCost</w:t>
      </w:r>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 xml:space="preserve">7.3.1 Visualizing and Labelling Clusters</w:t>
      </w:r>
    </w:p>
    <w:p w14:paraId="19C1E900" w14:textId="31F234E5" w:rsidR="00012C61" w:rsidRDefault="00360599">
      <w:pPr>
        <w:spacing w:after="300"/>
        <w:jc w:val="center"/>
        <w:rPr>
          <w:i/>
          <w:iCs/>
          <w:sz w:val="18"/>
          <w:szCs w:val="18"/>
        </w:rPr>
      </w:pPr>
      <w:r>
        <w:rPr>
          <w:i/>
          <w:iCs/>
          <w:sz w:val="18"/>
          <w:szCs w:val="18"/>
        </w:rPr>
        <w:t xml:space="preserve">Figure 7.2: Pairplot of VehOdo, AuctionAvgPrice, WarrantyCost by cluster (2,000-row sample).</w:t>
      </w:r>
    </w:p>
    <w:p w14:paraId="4E977DC9" w14:textId="78EE769E" w:rsidR="00A037F3" w:rsidRDefault="00A037F3">
      <w:pPr>
        <w:spacing w:after="300"/>
        <w:jc w:val="center"/>
      </w:pPr>
      <w: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 xml:space="preserve">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 xml:space="preserve">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 xml:space="preserve">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SequenceLSTM with num_features = 1 (TSDM only), hidden_size = 32, num_layers = 2, output_size = 5 (forecast_horizon), dropout = 0.2 (PyTorch default in the model class, applied between LSTM layers and before the final linear layer).</w:t>
      </w:r>
    </w:p>
    <w:p w14:paraId="0E690563" w14:textId="3E99FF80" w:rsidR="00012C61" w:rsidRDefault="00000000">
      <w:pPr>
        <w:spacing w:after="150"/>
      </w:pPr>
      <w:r>
        <w:t xml:space="preserve">Training: Adam optimizer, learning rate = 0.001, 250 epochs, batch size 32, MSE loss, with an 80/20 internal train/validation split used to select the best-performing model checkpoint (lowest validation loss) across training.</w:t>
      </w:r>
    </w:p>
    <w:p w14:paraId="6E00665A" w14:textId="0A835FC9" w:rsidR="00012C61" w:rsidRDefault="00000000">
      <w:pPr>
        <w:spacing w:after="150"/>
      </w:pPr>
      <w:r>
        <w:t xml:space="preserve">Hyperparameter selection: hidden_size, num_layers, and learning rate were tuned via a grid search over hidden_size in {8, 16, 32}, num_layers in {1, 2}, and learning rate in {0.001, 0.0005} — 12 candidates in total. Each candidate was trained for a short budget of 60 epochs on the same 80/20 train/validation split, and validation MSE was recorded for every combination (hidden_size, num_layers, lr → val_loss): 32, 2, 0.0010 → 0.5437; 16, 2, 0.0010 → 0.5478; 32, 1, 0.0010 → 0.5517; 32, 2, 0.0005 → 0.5547; 16, 2, 0.0005 → 0.5582; 16, 1, 0.0010 → 0.5629; 32, 1, 0.0005 → 0.5631; 8, 2, 0.0010 → 0.5664; 16, 1, 0.0005 → 0.5694; 8, 2, 0.0005 → 0.5731; 8, 1, 0.0010 → 0.5735; 8, 1, 0.0005 → 0.5831. The lowest-validation-loss configuration — hidden_size=32, num_layers=2, 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3EDC4E85" w:rsidR="00012C61" w:rsidRDefault="00000000">
      <w:pPr>
        <w:spacing w:after="150"/>
      </w:pPr>
      <w:r>
        <w:t xml:space="preserve">The training loss decreases fairly steadily throughout training (0.75 → 0.45), while the validation loss drops to its lowest point by epoch 50 (0.531) and then edges slightly upward through epoch 200 (0.533 → 0.535) — a mild overfitting signal within this internal validation split. Because train_lstm_model 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hidden_size is increased to 24 to give the LSTM enough representational capacity for the longer input. num_layers=2 and the rest of the training setup (batch size, optimizer, dropout) are kept identical to Model 1 so that lookback length — not some other architectural change — is the variable being compared between the two univariate models. No other architectural change is required; pack_padded_sequence 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 xml:space="preserve">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num_features is increased from 1 to the number of available climate columns (TSDM plus 15-day-average rainfall, max/min temperature, relative humidity at max/min temperature, evaporation, and radiation — 8 features in total), requiring the LSTM's input_size to scale accordingly; hidden_size 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pack_padded_sequence restricts the LSTM's computation to each sample's true, un-padded length. This required a new data-preparation routine (create_sequences_flexible / prepare_tsdm_data_flexible); 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 xml:space="preserve">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 xml:space="preserve">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concentrated, not uniform: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 xml:space="preserve">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06D3430D" w:rsidR="00012C61" w:rsidRDefault="00000000">
      <w:pPr>
        <w:spacing w:after="150"/>
      </w:pPr>
      <w:r>
        <w:t xml:space="preserve">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held-out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hydrogen_small 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 xml:space="preserve">Text cleaning: URLs, Twitter mentions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 xml:space="preserve">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 xml:space="preserve">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 xml:space="preserve">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random_state=42 — stratification preserves the 54.7%/45.3% class balance in both subsets.</w:t>
      </w:r>
    </w:p>
    <w:p w14:paraId="62EC65E6" w14:textId="77777777" w:rsidR="00012C61" w:rsidRDefault="00000000">
      <w:pPr>
        <w:pStyle w:val="ListParagraph"/>
        <w:numPr>
          <w:ilvl w:val="0"/>
          <w:numId w:val="1"/>
        </w:numPr>
        <w:spacing w:after="80"/>
      </w:pPr>
      <w:r>
        <w:t xml:space="preserve">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 xml:space="preserve">Hyperparameters: 3 epochs, batch size 16 (train) / 32 (eval), learning rate 2e-5 with the AdamW optimiser,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 xml:space="preserve">Note that bert-base-uncased shows a larger train–test gap (97.14% → 91.67%) than bertweet-base (94.43% → 93.33%), suggesting bertweet-base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 xml:space="preserve">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 xml:space="preserve">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 xml:space="preserve">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SQuAD_tiny 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 xml:space="preserve">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 xml:space="preserve">Dataset split: 1,000 training examples (SQuAD train indices 10,000–10,999), 100 validation examples (SQuAD validation indices 3,000–3,099), and 100 test examples (SQuAD validation indices 3,100–3,199), following the SQuAD_tiny 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 xml:space="preserve">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 xml:space="preserve">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 xml:space="preserve">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 xml:space="preserve">the revocation of the Edict of Nantes</w:t>
            </w:r>
          </w:p>
        </w:tc>
        <w:tc>
          <w:tcPr>
            <w:tcW w:w="1700" w:type="dxa"/>
            <w:tcMar>
              <w:top w:w="100" w:type="dxa"/>
              <w:left w:w="100" w:type="dxa"/>
              <w:bottom w:w="100" w:type="dxa"/>
              <w:right w:w="100" w:type="dxa"/>
            </w:tcMar>
          </w:tcPr>
          <w:p w14:paraId="53587333" w14:textId="77777777" w:rsidR="00012C61" w:rsidRDefault="00000000">
            <w:r>
              <w:t xml:space="preserve">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 xml:space="preserve">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Fine-tuned t5-small (SQuAD_tiny)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SQuAD_tiny 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SQuAD_tiny 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12C61"/>
    <w:rsid w:val="00014E80"/>
    <w:rsid w:val="00082F19"/>
    <w:rsid w:val="000F2EE7"/>
    <w:rsid w:val="00154FA1"/>
    <w:rsid w:val="00161779"/>
    <w:rsid w:val="001B3E5E"/>
    <w:rsid w:val="001F0442"/>
    <w:rsid w:val="001F4DEF"/>
    <w:rsid w:val="001F7083"/>
    <w:rsid w:val="002A2650"/>
    <w:rsid w:val="002A56F9"/>
    <w:rsid w:val="002B7936"/>
    <w:rsid w:val="00360599"/>
    <w:rsid w:val="00377D70"/>
    <w:rsid w:val="00397D48"/>
    <w:rsid w:val="003B27F6"/>
    <w:rsid w:val="003B4D43"/>
    <w:rsid w:val="003F0117"/>
    <w:rsid w:val="00404D7A"/>
    <w:rsid w:val="004154B5"/>
    <w:rsid w:val="00442068"/>
    <w:rsid w:val="00526CA5"/>
    <w:rsid w:val="00550602"/>
    <w:rsid w:val="005849E2"/>
    <w:rsid w:val="00587DD7"/>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3055D"/>
    <w:rsid w:val="00966235"/>
    <w:rsid w:val="00A037F3"/>
    <w:rsid w:val="00A7381E"/>
    <w:rsid w:val="00B01DA9"/>
    <w:rsid w:val="00B01FA1"/>
    <w:rsid w:val="00B06FB9"/>
    <w:rsid w:val="00BC4686"/>
    <w:rsid w:val="00C41133"/>
    <w:rsid w:val="00C953D4"/>
    <w:rsid w:val="00CA0BAC"/>
    <w:rsid w:val="00CA29A1"/>
    <w:rsid w:val="00CC363A"/>
    <w:rsid w:val="00DF511F"/>
    <w:rsid w:val="00E06B11"/>
    <w:rsid w:val="00ED22BA"/>
    <w:rsid w:val="00F211CC"/>
    <w:rsid w:val="00F3416F"/>
    <w:rsid w:val="00F52BAA"/>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6006</Words>
  <Characters>35020</Characters>
  <Application>Microsoft Office Word</Application>
  <DocSecurity>0</DocSecurity>
  <Lines>946</Lines>
  <Paragraphs>612</Paragraphs>
  <ScaleCrop>false</ScaleCrop>
  <Company/>
  <LinksUpToDate>false</LinksUpToDate>
  <CharactersWithSpaces>40414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56</cp:revision>
  <dcterms:created xsi:type="dcterms:W3CDTF">2026-09-16T10:32:00Z</dcterms:created>
  <dcterms:modified xsi:type="dcterms:W3CDTF">2026-09-19T10:56:00Z</dcterms:modified>
</cp:coreProperties>
</file>