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sidRPr="0078244F">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Assessment </w:t>
      </w:r>
      <w:r w:rsidRPr="0078244F">
        <w:rPr>
          <w:rFonts w:eastAsia="Batang" w:cs="Mangal"/>
          <w:lang w:val="en-GB" w:bidi="mr-IN"/>
        </w:rPr>
        <w:t>2</w:t>
      </w:r>
      <w:r w:rsidRPr="0078244F">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sidRPr="0078244F">
        <w:rPr>
          <w:rFonts w:eastAsia="SimSun" w:cs="Times New Roman"/>
          <w:color w:val="244061"/>
          <w:szCs w:val="44"/>
          <w:lang w:val="en-GB" w:eastAsia="en-IN" w:bidi="mr-IN"/>
        </w:rPr>
        <w:t xml:space="preserve">Group Name: [ </w:t>
      </w:r>
      <w:hyperlink r:id="rId5">
        <w:r w:rsidRPr="0078244F">
          <w:rPr>
            <w:rFonts w:ascii="LatoWeb;Lato Extended;Lato;Helv" w:eastAsia="SimSun" w:hAnsi="LatoWeb;Lato Extended;Lato;Helv" w:cs="Times New Roman"/>
            <w:color w:val="00407A"/>
            <w:sz w:val="36"/>
            <w:szCs w:val="36"/>
            <w:lang w:val="en-GB" w:eastAsia="en-IN" w:bidi="mr-IN"/>
          </w:rPr>
          <w:t>IFQ580 Learning Group 03</w:t>
        </w:r>
      </w:hyperlink>
      <w:r w:rsidRPr="0078244F">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sidRPr="0078244F">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sidRPr="0078244F">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sidRPr="0078244F">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sidRPr="0078244F">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proofErr w:type="spellStart"/>
            <w:r w:rsidRPr="0078244F">
              <w:rPr>
                <w:rFonts w:eastAsia="SimSun" w:cs="Mangal"/>
              </w:rPr>
              <w:t>Minchul</w:t>
            </w:r>
            <w:proofErr w:type="spellEnd"/>
            <w:r w:rsidRPr="0078244F">
              <w:rPr>
                <w:rFonts w:eastAsia="SimSun" w:cs="Mangal"/>
              </w:rPr>
              <w:t xml:space="preserve"> Kim</w:t>
            </w:r>
          </w:p>
        </w:tc>
        <w:tc>
          <w:tcPr>
            <w:tcW w:w="3351" w:type="dxa"/>
          </w:tcPr>
          <w:p w14:paraId="4E59AF51" w14:textId="77777777" w:rsidR="0078244F" w:rsidRPr="0078244F" w:rsidRDefault="0078244F" w:rsidP="0078244F">
            <w:pPr>
              <w:spacing w:line="480" w:lineRule="auto"/>
              <w:rPr>
                <w:rFonts w:eastAsia="SimSun" w:cs="Mangal"/>
                <w:lang w:val="en-GB"/>
              </w:rPr>
            </w:pPr>
            <w:r w:rsidRPr="0078244F">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proofErr w:type="spellStart"/>
            <w:r w:rsidRPr="0078244F">
              <w:rPr>
                <w:rFonts w:eastAsia="SimSun" w:cs="Mangal"/>
                <w:lang w:val="en-GB" w:eastAsia="en-IN" w:bidi="mr-IN"/>
              </w:rPr>
              <w:t>Minchul</w:t>
            </w:r>
            <w:proofErr w:type="spellEnd"/>
            <w:r w:rsidRPr="0078244F">
              <w:rPr>
                <w:rFonts w:eastAsia="SimSun" w:cs="Mangal"/>
                <w:lang w:val="en-GB" w:eastAsia="en-IN" w:bidi="mr-IN"/>
              </w:rPr>
              <w:t xml:space="preserve">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sidRPr="002A2650">
        <w:rPr>
          <w:b/>
          <w:bCs/>
        </w:rPr>
        <w:t>Text cleaning</w:t>
      </w:r>
      <w:r w:rsidR="002A2650">
        <w:t>:</w:t>
      </w:r>
      <w:r>
        <w:t xml:space="preserve"> </w:t>
      </w:r>
      <w:r w:rsidR="001F0442" w:rsidRPr="002A2650">
        <w:rPr>
          <w:lang w:val="en-GB"/>
        </w:rPr>
        <w:t xml:space="preserve">URLs, </w:t>
      </w:r>
      <w:r w:rsidR="002A2650" w:rsidRPr="002A2650">
        <w:rPr>
          <w:lang w:val="en-GB"/>
        </w:rPr>
        <w:t>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sidRPr="002A2650">
        <w:rPr>
          <w:b/>
          <w:bCs/>
        </w:rPr>
        <w:t>TF-IDF vectorization</w:t>
      </w:r>
      <w:r>
        <w:t>:</w:t>
      </w:r>
      <w:r>
        <w:rPr>
          <w:lang w:val="en-GB"/>
        </w:rPr>
        <w:t xml:space="preserve"> </w:t>
      </w:r>
      <w:r w:rsidRPr="002A2650">
        <w:rPr>
          <w:lang w:val="en-GB"/>
        </w:rPr>
        <w:t>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sidRPr="002A2650">
        <w:rPr>
          <w:b/>
          <w:bCs/>
        </w:rPr>
        <w:t xml:space="preserve">Standardization </w:t>
      </w:r>
      <w:r w:rsidRPr="002A2650">
        <w:t>(</w:t>
      </w:r>
      <w:r w:rsidRPr="002A2650">
        <w:rPr>
          <w:i/>
          <w:iCs/>
        </w:rPr>
        <w:t>StandardScaler</w:t>
      </w:r>
      <w:r w:rsidRPr="002A2650">
        <w:t>)</w:t>
      </w:r>
      <w:r>
        <w:t xml:space="preserve">: </w:t>
      </w:r>
      <w:r w:rsidRPr="002A2650">
        <w:rPr>
          <w:lang w:val="en-GB"/>
        </w:rPr>
        <w:t xml:space="preserve">PCA finds directions where the data varies the most. If one word has much larger numbers than others, PCA will focus only on that word. Using </w:t>
      </w:r>
      <w:r w:rsidR="001F0442">
        <w:rPr>
          <w:lang w:val="en-GB"/>
        </w:rPr>
        <w:t xml:space="preserve">the </w:t>
      </w:r>
      <w:r w:rsidRPr="001F0442">
        <w:rPr>
          <w:i/>
          <w:iCs/>
          <w:lang w:val="en-GB"/>
        </w:rPr>
        <w:t>StandardScaler</w:t>
      </w:r>
      <w:r w:rsidRPr="002A2650">
        <w:rPr>
          <w:lang w:val="en-GB"/>
        </w:rPr>
        <w:t xml:space="preserve"> sets the mean to 0 and variance to 1, ensuring every word has a fair influence on the results</w:t>
      </w:r>
      <w:r>
        <w:t>.</w:t>
      </w:r>
    </w:p>
    <w:p w14:paraId="648FABCB" w14:textId="574E7F18" w:rsidR="00800C62" w:rsidRDefault="00800C62">
      <w:pPr>
        <w:spacing w:after="150"/>
      </w:pPr>
      <w:r w:rsidRPr="00800C62">
        <w:t xml:space="preserve">During our evaluation, we discussed the trade-off between </w:t>
      </w:r>
      <w:r w:rsidR="005849E2" w:rsidRPr="00800C62">
        <w:t>standardization</w:t>
      </w:r>
      <w:r w:rsidRPr="00800C62">
        <w:t xml:space="preserve"> and maintaining data sparsity. While </w:t>
      </w:r>
      <w:r w:rsidR="005849E2" w:rsidRPr="00800C62">
        <w:t>standardizing</w:t>
      </w:r>
      <w:r w:rsidRPr="00800C62">
        <w:t xml:space="preserve"> the TF-IDF matrix to zero mean and unit variance breaks its original sparse structure—increasing memory overhead—we </w:t>
      </w:r>
      <w:r w:rsidR="00FB24F2">
        <w:t xml:space="preserve">think </w:t>
      </w:r>
      <w:r w:rsidRPr="00800C62">
        <w:t>it</w:t>
      </w:r>
      <w:r w:rsidR="00FB24F2">
        <w:t xml:space="preserve"> is</w:t>
      </w:r>
      <w:r w:rsidRPr="00800C62">
        <w:t xml:space="preserve">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sidRPr="005849E2">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w:t>
      </w:r>
      <w:r w:rsidR="00F3416F">
        <w:t>standardized</w:t>
      </w:r>
      <w:r>
        <w:t xml:space="preserve">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 xml:space="preserve">6.2.2 </w:t>
      </w:r>
      <w:r w:rsidR="00A7381E">
        <w:t>Visualization</w:t>
      </w:r>
    </w:p>
    <w:p w14:paraId="75D20A06" w14:textId="0878CB7E" w:rsidR="00012C61" w:rsidRDefault="00A7381E">
      <w:pPr>
        <w:spacing w:after="300"/>
        <w:jc w:val="center"/>
      </w:pPr>
      <w:r w:rsidRPr="00A7381E">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sidR="00B01DA9">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sidRPr="000F2EE7">
        <w:rPr>
          <w:b/>
          <w:bCs/>
          <w:lang w:val="en-GB"/>
        </w:rPr>
        <w:t xml:space="preserve">Observation: </w:t>
      </w:r>
      <w:r w:rsidRPr="000F2EE7">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sidRPr="000F2EE7">
        <w:rPr>
          <w:b/>
          <w:bCs/>
          <w:lang w:val="en-GB"/>
        </w:rPr>
        <w:t>Finding / Interpretation:</w:t>
      </w:r>
      <w:r>
        <w:rPr>
          <w:b/>
          <w:bCs/>
          <w:lang w:val="en-GB"/>
        </w:rPr>
        <w:t xml:space="preserve"> </w:t>
      </w:r>
      <w:r w:rsidRPr="000F2EE7">
        <w:rPr>
          <w:lang w:val="en-GB"/>
        </w:rPr>
        <w:t xml:space="preserve">A shrinking CV means the </w:t>
      </w:r>
      <w:r w:rsidRPr="000F2EE7">
        <w:rPr>
          <w:i/>
          <w:iCs/>
          <w:lang w:val="en-GB"/>
        </w:rPr>
        <w:t>spread</w:t>
      </w:r>
      <w:r w:rsidRPr="000F2EE7">
        <w:rPr>
          <w:lang w:val="en-GB"/>
        </w:rPr>
        <w:t xml:space="preserve"> of distances is shrinking relative to their </w:t>
      </w:r>
      <w:r w:rsidRPr="000F2EE7">
        <w:rPr>
          <w:i/>
          <w:iCs/>
          <w:lang w:val="en-GB"/>
        </w:rPr>
        <w:t>average</w:t>
      </w:r>
      <w:r w:rsidRPr="000F2EE7">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0F2EE7">
        <w:rPr>
          <w:i/>
          <w:iCs/>
          <w:lang w:val="en-GB"/>
        </w:rPr>
        <w:t>contrast</w:t>
      </w:r>
      <w:r w:rsidRPr="000F2EE7">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sidRPr="00ED22BA">
        <w:rPr>
          <w:b/>
          <w:bCs/>
        </w:rPr>
        <w:t>Method</w:t>
      </w:r>
      <w:r>
        <w:t xml:space="preserve">: PCA was fit on the full </w:t>
      </w:r>
      <w:r w:rsidR="00F3416F">
        <w:t>standardized</w:t>
      </w:r>
      <w:r>
        <w:t xml:space="preserve">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sidRPr="003B4D43">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sidRPr="00ED22BA">
        <w:rPr>
          <w:b/>
          <w:bCs/>
          <w:lang w:val="en-GB"/>
        </w:rPr>
        <w:t xml:space="preserve">Determining Optimal Components: </w:t>
      </w:r>
      <w:r w:rsidRPr="00ED22BA">
        <w:rPr>
          <w:lang w:val="en-GB"/>
        </w:rPr>
        <w:t xml:space="preserve">We plotted the Cumulative Explained Variance curve (Scree Plot) and looked for the point where the curve explains about </w:t>
      </w:r>
      <w:r w:rsidRPr="00FF4E96">
        <w:rPr>
          <w:i/>
          <w:iCs/>
          <w:lang w:val="en-GB"/>
        </w:rPr>
        <w:t>80%</w:t>
      </w:r>
      <w:r w:rsidRPr="00ED22BA">
        <w:rPr>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FF4E96">
        <w:rPr>
          <w:i/>
          <w:iCs/>
          <w:lang w:val="en-GB"/>
        </w:rPr>
        <w:t>80%</w:t>
      </w:r>
      <w:r w:rsidRPr="00ED22BA">
        <w:rPr>
          <w:lang w:val="en-GB"/>
        </w:rPr>
        <w:t xml:space="preserve"> cumulative variance (verified separately with an exact full-rank fit up to ~</w:t>
      </w:r>
      <w:r w:rsidRPr="00FF4E96">
        <w:rPr>
          <w:i/>
          <w:iCs/>
          <w:lang w:val="en-GB"/>
        </w:rPr>
        <w:t>2,</w:t>
      </w:r>
      <w:r w:rsidR="00FF4E96">
        <w:rPr>
          <w:i/>
          <w:iCs/>
          <w:lang w:val="en-GB"/>
        </w:rPr>
        <w:t>500</w:t>
      </w:r>
      <w:r w:rsidRPr="00ED22BA">
        <w:rPr>
          <w:lang w:val="en-GB"/>
        </w:rPr>
        <w:t xml:space="preserve"> components, which crosses 80% at ~</w:t>
      </w:r>
      <w:r w:rsidRPr="00FF4E96">
        <w:rPr>
          <w:i/>
          <w:iCs/>
          <w:lang w:val="en-GB"/>
        </w:rPr>
        <w:t>1,308</w:t>
      </w:r>
      <w:r w:rsidRPr="00ED22BA">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sidRPr="00ED22BA">
        <w:rPr>
          <w:b/>
          <w:bCs/>
          <w:lang w:val="en-GB"/>
        </w:rPr>
        <w:t xml:space="preserve">Top 5 Components Analysis: </w:t>
      </w:r>
      <w:r w:rsidRPr="00ED22BA">
        <w:rPr>
          <w:lang w:val="en-GB"/>
        </w:rPr>
        <w:t xml:space="preserve">The top 5 principal components together explain only about </w:t>
      </w:r>
      <w:r w:rsidRPr="00FF4E96">
        <w:rPr>
          <w:i/>
          <w:iCs/>
          <w:lang w:val="en-GB"/>
        </w:rPr>
        <w:t>1%</w:t>
      </w:r>
      <w:r w:rsidRPr="00ED22BA">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sidRPr="00ED22BA">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 xml:space="preserve">Before running t-SNE, the </w:t>
      </w:r>
      <w:r w:rsidR="003B4D43">
        <w:t>standardized</w:t>
      </w:r>
      <w:r>
        <w:t xml:space="preserve">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sidR="003B4D43" w:rsidRPr="00FF4E96">
        <w:rPr>
          <w:i/>
          <w:iCs/>
        </w:rPr>
        <w:t>2</w:t>
      </w:r>
      <w:r w:rsidRPr="00FF4E96">
        <w:rPr>
          <w:i/>
          <w:iCs/>
        </w:rPr>
        <w:t>0</w:t>
      </w:r>
      <w:r>
        <w:t>.</w:t>
      </w:r>
    </w:p>
    <w:p w14:paraId="701E4510" w14:textId="0D561732" w:rsidR="00012C61" w:rsidRDefault="00000000">
      <w:pPr>
        <w:spacing w:after="150"/>
      </w:pPr>
      <w:r>
        <w:t xml:space="preserve">This value was chosen after testing a range between 10 and 50: perplexity = </w:t>
      </w:r>
      <w:r w:rsidR="003B4D43" w:rsidRPr="00FF4E96">
        <w:rPr>
          <w:i/>
          <w:iCs/>
        </w:rPr>
        <w:t>2</w:t>
      </w:r>
      <w:r w:rsidRPr="00FF4E96">
        <w:rPr>
          <w:i/>
          <w:iCs/>
        </w:rPr>
        <w:t>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w:t>
      </w:r>
      <w:r w:rsidR="00FF4E96">
        <w:t>3.01</w:t>
      </w:r>
      <w:r>
        <w:t xml:space="preserve"> → 1.9</w:t>
      </w:r>
      <w:r w:rsidR="00FF4E96">
        <w:t>3</w:t>
      </w:r>
      <w:r>
        <w:t xml:space="preserve"> → 1.77), indicating that 3 components preserve the original high-dimensional </w:t>
      </w:r>
      <w:r w:rsidR="00F3416F">
        <w:t>neighborhood</w:t>
      </w:r>
      <w:r>
        <w:t xml:space="preserve"> structure more faithfully than 1 or 2 components.</w:t>
      </w:r>
    </w:p>
    <w:p w14:paraId="1B04E917" w14:textId="02048E07" w:rsidR="006A791E" w:rsidRDefault="006A791E" w:rsidP="006A791E">
      <w:pPr>
        <w:spacing w:after="150"/>
        <w:jc w:val="center"/>
        <w:rPr>
          <w:i/>
          <w:iCs/>
        </w:rPr>
      </w:pPr>
      <w:r w:rsidRPr="006A791E">
        <w:rPr>
          <w:i/>
          <w:iCs/>
        </w:rPr>
        <w:t>Figure 6.</w:t>
      </w:r>
      <w:r w:rsidR="001F4DEF">
        <w:rPr>
          <w:i/>
          <w:iCs/>
        </w:rPr>
        <w:t>3</w:t>
      </w:r>
      <w:r w:rsidRPr="006A791E">
        <w:rPr>
          <w:i/>
          <w:iCs/>
        </w:rPr>
        <w:t>: KL Divergence vs perplexity</w:t>
      </w:r>
    </w:p>
    <w:p w14:paraId="6A64512A" w14:textId="065F8D29" w:rsidR="006A791E" w:rsidRPr="006A791E" w:rsidRDefault="006A791E" w:rsidP="006A791E">
      <w:pPr>
        <w:spacing w:after="150"/>
        <w:jc w:val="center"/>
      </w:pPr>
      <w:r w:rsidRPr="006A791E">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 xml:space="preserve">6.5 Comparative </w:t>
      </w:r>
      <w:r w:rsidR="00FF4E96">
        <w:t>Visualization</w:t>
      </w:r>
      <w:r>
        <w:t>: PCA vs. t-SNE</w:t>
      </w:r>
    </w:p>
    <w:p w14:paraId="35476BBD" w14:textId="5F341A2A" w:rsidR="00012C61" w:rsidRDefault="00B01DA9">
      <w:pPr>
        <w:spacing w:after="300"/>
        <w:jc w:val="center"/>
        <w:rPr>
          <w:i/>
          <w:iCs/>
          <w:sz w:val="18"/>
          <w:szCs w:val="18"/>
        </w:rPr>
      </w:pPr>
      <w:r>
        <w:rPr>
          <w:i/>
          <w:iCs/>
          <w:sz w:val="18"/>
          <w:szCs w:val="18"/>
        </w:rPr>
        <w:t>Figure 6.</w:t>
      </w:r>
      <w:r w:rsidR="001F4DEF">
        <w:rPr>
          <w:i/>
          <w:iCs/>
          <w:sz w:val="18"/>
          <w:szCs w:val="18"/>
        </w:rPr>
        <w:t>4</w:t>
      </w:r>
      <w:r>
        <w:rPr>
          <w:i/>
          <w:iCs/>
          <w:sz w:val="18"/>
          <w:szCs w:val="18"/>
        </w:rPr>
        <w:t>: PCA (left) vs. t-SNE (</w:t>
      </w:r>
      <w:r w:rsidR="00CA29A1">
        <w:rPr>
          <w:i/>
          <w:iCs/>
          <w:sz w:val="18"/>
          <w:szCs w:val="18"/>
        </w:rPr>
        <w:t>right):</w:t>
      </w:r>
      <w:r>
        <w:rPr>
          <w:i/>
          <w:iCs/>
          <w:sz w:val="18"/>
          <w:szCs w:val="18"/>
        </w:rPr>
        <w:t xml:space="preserve"> top 3 components, </w:t>
      </w:r>
      <w:r w:rsidR="00CA29A1">
        <w:rPr>
          <w:i/>
          <w:iCs/>
          <w:sz w:val="18"/>
          <w:szCs w:val="18"/>
        </w:rPr>
        <w:t>colored</w:t>
      </w:r>
      <w:r>
        <w:rPr>
          <w:i/>
          <w:iCs/>
          <w:sz w:val="18"/>
          <w:szCs w:val="18"/>
        </w:rPr>
        <w:t xml:space="preserve"> by relevance label (0 = Irrelevant, 1 = Relevant).</w:t>
      </w:r>
    </w:p>
    <w:p w14:paraId="19266148" w14:textId="43B3EDA4" w:rsidR="00834E4D" w:rsidRDefault="00834E4D">
      <w:pPr>
        <w:spacing w:after="300"/>
        <w:jc w:val="center"/>
      </w:pPr>
      <w:r w:rsidRPr="00834E4D">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w:t>
      </w:r>
      <w:r w:rsidR="00526CA5">
        <w:t xml:space="preserve"> of Plots</w:t>
      </w:r>
    </w:p>
    <w:p w14:paraId="1F9840E1" w14:textId="01688CCD" w:rsidR="00526CA5" w:rsidRPr="00404D7A" w:rsidRDefault="00000000" w:rsidP="00404D7A">
      <w:pPr>
        <w:pStyle w:val="ListParagraph"/>
        <w:numPr>
          <w:ilvl w:val="0"/>
          <w:numId w:val="4"/>
        </w:numPr>
        <w:spacing w:after="150"/>
        <w:rPr>
          <w:lang w:val="en-GB"/>
        </w:rPr>
      </w:pPr>
      <w:r w:rsidRPr="00526CA5">
        <w:rPr>
          <w:b/>
          <w:bCs/>
        </w:rPr>
        <w:t>PCA</w:t>
      </w:r>
      <w:r w:rsidR="00526CA5">
        <w:t>:</w:t>
      </w:r>
      <w:r>
        <w:t xml:space="preserve"> </w:t>
      </w:r>
      <w:r w:rsidR="00404D7A" w:rsidRPr="00404D7A">
        <w:rPr>
          <w:lang w:val="en-GB"/>
        </w:rPr>
        <w:t xml:space="preserve">The 3D plot shows one big, crowded cloud </w:t>
      </w:r>
      <w:proofErr w:type="spellStart"/>
      <w:r w:rsidR="00404D7A" w:rsidRPr="00404D7A">
        <w:rPr>
          <w:lang w:val="en-GB"/>
        </w:rPr>
        <w:t>centered</w:t>
      </w:r>
      <w:proofErr w:type="spellEnd"/>
      <w:r w:rsidR="00404D7A" w:rsidRPr="00404D7A">
        <w:rPr>
          <w:lang w:val="en-GB"/>
        </w:rPr>
        <w:t xml:space="preserve">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sidRPr="00526CA5">
        <w:rPr>
          <w:b/>
          <w:bCs/>
        </w:rPr>
        <w:t>t-SNE</w:t>
      </w:r>
      <w:r w:rsidR="00526CA5">
        <w:t>:</w:t>
      </w:r>
      <w:r w:rsidR="00404D7A" w:rsidRPr="00404D7A">
        <w:rPr>
          <w:rFonts w:ascii="Consolas" w:eastAsia="Times New Roman" w:hAnsi="Consolas" w:cs="Times New Roman"/>
          <w:color w:val="BBBEBF"/>
          <w:sz w:val="21"/>
          <w:szCs w:val="21"/>
          <w:lang w:val="en-GB" w:eastAsia="en-GB"/>
        </w:rPr>
        <w:t xml:space="preserve"> </w:t>
      </w:r>
      <w:r w:rsidR="00404D7A" w:rsidRPr="00404D7A">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sidRPr="00404D7A">
        <w:rPr>
          <w:b/>
          <w:bCs/>
        </w:rPr>
        <w:t>PCA</w:t>
      </w:r>
      <w:r>
        <w:t xml:space="preserve">: </w:t>
      </w:r>
      <w:r w:rsidR="006A53D7" w:rsidRPr="006A53D7">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sidRPr="00404D7A">
        <w:rPr>
          <w:b/>
          <w:bCs/>
        </w:rPr>
        <w:t>t-SNE</w:t>
      </w:r>
      <w:r>
        <w:t xml:space="preserve">: </w:t>
      </w:r>
      <w:r w:rsidR="006A53D7" w:rsidRPr="006A53D7">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77777777" w:rsidR="00012C61" w:rsidRDefault="00000000">
      <w:pPr>
        <w:spacing w:after="150"/>
      </w:pPr>
      <w:r>
        <w:t>Two preprocessing steps were applied before clustering:</w:t>
      </w:r>
    </w:p>
    <w:p w14:paraId="0D593CC1" w14:textId="77777777" w:rsidR="00012C61" w:rsidRDefault="00000000">
      <w:pPr>
        <w:pStyle w:val="ListParagraph"/>
        <w:numPr>
          <w:ilvl w:val="0"/>
          <w:numId w:val="1"/>
        </w:numPr>
        <w:spacing w:after="80"/>
      </w:pPr>
      <w:r>
        <w:t>Missing value handling: rows containing missing values were dropped, resulting in a clean dataset of 41,409 records across the four numeric attributes (</w:t>
      </w:r>
      <w:proofErr w:type="spellStart"/>
      <w:r>
        <w:t>VehOdo</w:t>
      </w:r>
      <w:proofErr w:type="spellEnd"/>
      <w:r>
        <w:t xml:space="preserve">, </w:t>
      </w:r>
      <w:proofErr w:type="spellStart"/>
      <w:r>
        <w:t>MMRAcquisitionAuctionAveragePrice</w:t>
      </w:r>
      <w:proofErr w:type="spellEnd"/>
      <w:r>
        <w:t xml:space="preserve">, </w:t>
      </w:r>
      <w:proofErr w:type="spellStart"/>
      <w:r>
        <w:t>WarrantyCost</w:t>
      </w:r>
      <w:proofErr w:type="spellEnd"/>
      <w:r>
        <w:t xml:space="preserve">, </w:t>
      </w:r>
      <w:proofErr w:type="spellStart"/>
      <w:r>
        <w:t>IsBadBuy</w:t>
      </w:r>
      <w:proofErr w:type="spellEnd"/>
      <w:r>
        <w:t>). This prevents distance calculation errors, since Euclidean distance is undefined when a feature value is missing.</w:t>
      </w:r>
    </w:p>
    <w:p w14:paraId="337C7C4D" w14:textId="0ED22292" w:rsidR="00012C61" w:rsidRDefault="00F3416F">
      <w:pPr>
        <w:pStyle w:val="ListParagraph"/>
        <w:numPr>
          <w:ilvl w:val="0"/>
          <w:numId w:val="1"/>
        </w:numPr>
        <w:spacing w:after="80"/>
      </w:pPr>
      <w:r>
        <w:t xml:space="preserve">Standardization (StandardScaler): K-Means relies on Euclidean distance, and the raw scales of the four attributes differ by orders of magnitude — </w:t>
      </w:r>
      <w:proofErr w:type="spellStart"/>
      <w:r>
        <w:t>VehOdo</w:t>
      </w:r>
      <w:proofErr w:type="spellEnd"/>
      <w:r>
        <w:t xml:space="preserve"> is measured in tens of thousands while </w:t>
      </w:r>
      <w:proofErr w:type="spellStart"/>
      <w:r>
        <w:t>WarrantyCost</w:t>
      </w:r>
      <w:proofErr w:type="spellEnd"/>
      <w:r>
        <w:t xml:space="preserve"> is in the hundreds. Without standardization, </w:t>
      </w:r>
      <w:proofErr w:type="spellStart"/>
      <w:r>
        <w:t>VehOdo</w:t>
      </w:r>
      <w:proofErr w:type="spellEnd"/>
      <w:r>
        <w:t xml:space="preserve"> would dominate the distance calculation purely because of its scale, not because it is more informative. StandardScaler rescales every feature to zero mean and unit variance, giving each variable equal weight in the clustering.</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Algorithm chosen: K-Means.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proofErr w:type="spellStart"/>
      <w:r>
        <w:t>VehOdo</w:t>
      </w:r>
      <w:proofErr w:type="spellEnd"/>
      <w:r>
        <w:t xml:space="preserve">, </w:t>
      </w:r>
      <w:proofErr w:type="spellStart"/>
      <w:r>
        <w:t>MMRAcquisitionAuctionAveragePrice</w:t>
      </w:r>
      <w:proofErr w:type="spellEnd"/>
      <w:r>
        <w:t xml:space="preserve">, </w:t>
      </w:r>
      <w:proofErr w:type="spellStart"/>
      <w:r>
        <w:t>WarrantyCost</w:t>
      </w:r>
      <w:proofErr w:type="spellEnd"/>
      <w:r>
        <w:t xml:space="preserve">, </w:t>
      </w:r>
      <w:proofErr w:type="spellStart"/>
      <w:r>
        <w:t>IsBadBuy</w:t>
      </w:r>
      <w:proofErr w:type="spellEnd"/>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77777777"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3"/>
        <w:gridCol w:w="1499"/>
        <w:gridCol w:w="1954"/>
        <w:gridCol w:w="1749"/>
        <w:gridCol w:w="1514"/>
        <w:gridCol w:w="971"/>
      </w:tblGrid>
      <w:tr w:rsidR="00012C61" w14:paraId="13FFDBAF" w14:textId="77777777">
        <w:trPr>
          <w:tblHeader/>
        </w:trPr>
        <w:tc>
          <w:tcPr>
            <w:tcW w:w="1400"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74C40EDB" w14:textId="77777777" w:rsidR="00012C61" w:rsidRDefault="00000000">
            <w:proofErr w:type="spellStart"/>
            <w:r>
              <w:rPr>
                <w:b/>
                <w:bCs/>
              </w:rPr>
              <w:t>VehOdo</w:t>
            </w:r>
            <w:proofErr w:type="spellEnd"/>
          </w:p>
        </w:tc>
        <w:tc>
          <w:tcPr>
            <w:tcW w:w="2000" w:type="dxa"/>
            <w:shd w:val="clear" w:color="auto" w:fill="DDEBF7"/>
            <w:tcMar>
              <w:top w:w="100" w:type="dxa"/>
              <w:left w:w="100" w:type="dxa"/>
              <w:bottom w:w="100" w:type="dxa"/>
              <w:right w:w="100" w:type="dxa"/>
            </w:tcMar>
          </w:tcPr>
          <w:p w14:paraId="207ADA47" w14:textId="77777777" w:rsidR="00012C61" w:rsidRDefault="00000000">
            <w:proofErr w:type="spellStart"/>
            <w:r>
              <w:rPr>
                <w:b/>
                <w:bCs/>
              </w:rPr>
              <w:t>AuctionAvgPrice</w:t>
            </w:r>
            <w:proofErr w:type="spellEnd"/>
          </w:p>
        </w:tc>
        <w:tc>
          <w:tcPr>
            <w:tcW w:w="1800" w:type="dxa"/>
            <w:shd w:val="clear" w:color="auto" w:fill="DDEBF7"/>
            <w:tcMar>
              <w:top w:w="100" w:type="dxa"/>
              <w:left w:w="100" w:type="dxa"/>
              <w:bottom w:w="100" w:type="dxa"/>
              <w:right w:w="100" w:type="dxa"/>
            </w:tcMar>
          </w:tcPr>
          <w:p w14:paraId="24148CDE" w14:textId="77777777" w:rsidR="00012C61" w:rsidRDefault="00000000">
            <w:proofErr w:type="spellStart"/>
            <w:r>
              <w:rPr>
                <w:b/>
                <w:bCs/>
              </w:rPr>
              <w:t>WarrantyCost</w:t>
            </w:r>
            <w:proofErr w:type="spellEnd"/>
          </w:p>
        </w:tc>
        <w:tc>
          <w:tcPr>
            <w:tcW w:w="1600" w:type="dxa"/>
            <w:shd w:val="clear" w:color="auto" w:fill="DDEBF7"/>
            <w:tcMar>
              <w:top w:w="100" w:type="dxa"/>
              <w:left w:w="100" w:type="dxa"/>
              <w:bottom w:w="100" w:type="dxa"/>
              <w:right w:w="100" w:type="dxa"/>
            </w:tcMar>
          </w:tcPr>
          <w:p w14:paraId="436CE788" w14:textId="77777777" w:rsidR="00012C61" w:rsidRDefault="00000000">
            <w:proofErr w:type="spellStart"/>
            <w:r>
              <w:rPr>
                <w:b/>
                <w:bCs/>
              </w:rPr>
              <w:t>IsBadBuy</w:t>
            </w:r>
            <w:proofErr w:type="spellEnd"/>
            <w:r>
              <w:rPr>
                <w:b/>
                <w:bCs/>
              </w:rPr>
              <w:t xml:space="preserve"> Rate</w:t>
            </w:r>
          </w:p>
        </w:tc>
        <w:tc>
          <w:tcPr>
            <w:tcW w:w="1000"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tc>
          <w:tcPr>
            <w:tcW w:w="1400" w:type="dxa"/>
            <w:tcMar>
              <w:top w:w="100" w:type="dxa"/>
              <w:left w:w="100" w:type="dxa"/>
              <w:bottom w:w="100" w:type="dxa"/>
              <w:right w:w="100" w:type="dxa"/>
            </w:tcMar>
          </w:tcPr>
          <w:p w14:paraId="599B84BE" w14:textId="77777777" w:rsidR="00012C61" w:rsidRDefault="00000000">
            <w:r>
              <w:t>0</w:t>
            </w:r>
          </w:p>
        </w:tc>
        <w:tc>
          <w:tcPr>
            <w:tcW w:w="1600" w:type="dxa"/>
            <w:tcMar>
              <w:top w:w="100" w:type="dxa"/>
              <w:left w:w="100" w:type="dxa"/>
              <w:bottom w:w="100" w:type="dxa"/>
              <w:right w:w="100" w:type="dxa"/>
            </w:tcMar>
          </w:tcPr>
          <w:p w14:paraId="3E404165" w14:textId="77777777" w:rsidR="00012C61" w:rsidRDefault="00000000">
            <w:r>
              <w:t>80,964</w:t>
            </w:r>
          </w:p>
        </w:tc>
        <w:tc>
          <w:tcPr>
            <w:tcW w:w="2000" w:type="dxa"/>
            <w:tcMar>
              <w:top w:w="100" w:type="dxa"/>
              <w:left w:w="100" w:type="dxa"/>
              <w:bottom w:w="100" w:type="dxa"/>
              <w:right w:w="100" w:type="dxa"/>
            </w:tcMar>
          </w:tcPr>
          <w:p w14:paraId="42198766" w14:textId="77777777" w:rsidR="00012C61" w:rsidRDefault="00000000">
            <w:r>
              <w:t>$6,326</w:t>
            </w:r>
          </w:p>
        </w:tc>
        <w:tc>
          <w:tcPr>
            <w:tcW w:w="1800" w:type="dxa"/>
            <w:tcMar>
              <w:top w:w="100" w:type="dxa"/>
              <w:left w:w="100" w:type="dxa"/>
              <w:bottom w:w="100" w:type="dxa"/>
              <w:right w:w="100" w:type="dxa"/>
            </w:tcMar>
          </w:tcPr>
          <w:p w14:paraId="686C275F" w14:textId="77777777" w:rsidR="00012C61" w:rsidRDefault="00000000">
            <w:r>
              <w:t>$1,571</w:t>
            </w:r>
          </w:p>
        </w:tc>
        <w:tc>
          <w:tcPr>
            <w:tcW w:w="1600" w:type="dxa"/>
            <w:tcMar>
              <w:top w:w="100" w:type="dxa"/>
              <w:left w:w="100" w:type="dxa"/>
              <w:bottom w:w="100" w:type="dxa"/>
              <w:right w:w="100" w:type="dxa"/>
            </w:tcMar>
          </w:tcPr>
          <w:p w14:paraId="182F671E" w14:textId="77777777" w:rsidR="00012C61" w:rsidRDefault="00000000">
            <w:r>
              <w:t>0.00</w:t>
            </w:r>
          </w:p>
        </w:tc>
        <w:tc>
          <w:tcPr>
            <w:tcW w:w="1000" w:type="dxa"/>
            <w:tcMar>
              <w:top w:w="100" w:type="dxa"/>
              <w:left w:w="100" w:type="dxa"/>
              <w:bottom w:w="100" w:type="dxa"/>
              <w:right w:w="100" w:type="dxa"/>
            </w:tcMar>
          </w:tcPr>
          <w:p w14:paraId="6D93AA2F" w14:textId="77777777" w:rsidR="00012C61" w:rsidRDefault="00000000">
            <w:r>
              <w:t>19,665</w:t>
            </w:r>
          </w:p>
        </w:tc>
      </w:tr>
      <w:tr w:rsidR="00012C61" w14:paraId="7C2EDD40" w14:textId="77777777">
        <w:tc>
          <w:tcPr>
            <w:tcW w:w="1400" w:type="dxa"/>
            <w:tcMar>
              <w:top w:w="100" w:type="dxa"/>
              <w:left w:w="100" w:type="dxa"/>
              <w:bottom w:w="100" w:type="dxa"/>
              <w:right w:w="100" w:type="dxa"/>
            </w:tcMar>
          </w:tcPr>
          <w:p w14:paraId="4D93B8A0" w14:textId="77777777" w:rsidR="00012C61" w:rsidRDefault="00000000">
            <w:r>
              <w:t>1</w:t>
            </w:r>
          </w:p>
        </w:tc>
        <w:tc>
          <w:tcPr>
            <w:tcW w:w="1600" w:type="dxa"/>
            <w:tcMar>
              <w:top w:w="100" w:type="dxa"/>
              <w:left w:w="100" w:type="dxa"/>
              <w:bottom w:w="100" w:type="dxa"/>
              <w:right w:w="100" w:type="dxa"/>
            </w:tcMar>
          </w:tcPr>
          <w:p w14:paraId="371EC105" w14:textId="77777777" w:rsidR="00012C61" w:rsidRDefault="00000000">
            <w:r>
              <w:t>58,696</w:t>
            </w:r>
          </w:p>
        </w:tc>
        <w:tc>
          <w:tcPr>
            <w:tcW w:w="2000" w:type="dxa"/>
            <w:tcMar>
              <w:top w:w="100" w:type="dxa"/>
              <w:left w:w="100" w:type="dxa"/>
              <w:bottom w:w="100" w:type="dxa"/>
              <w:right w:w="100" w:type="dxa"/>
            </w:tcMar>
          </w:tcPr>
          <w:p w14:paraId="31DFB010" w14:textId="77777777" w:rsidR="00012C61" w:rsidRDefault="00000000">
            <w:r>
              <w:t>$6,152</w:t>
            </w:r>
          </w:p>
        </w:tc>
        <w:tc>
          <w:tcPr>
            <w:tcW w:w="1800" w:type="dxa"/>
            <w:tcMar>
              <w:top w:w="100" w:type="dxa"/>
              <w:left w:w="100" w:type="dxa"/>
              <w:bottom w:w="100" w:type="dxa"/>
              <w:right w:w="100" w:type="dxa"/>
            </w:tcMar>
          </w:tcPr>
          <w:p w14:paraId="6D722815" w14:textId="77777777" w:rsidR="00012C61" w:rsidRDefault="00000000">
            <w:r>
              <w:t>$892</w:t>
            </w:r>
          </w:p>
        </w:tc>
        <w:tc>
          <w:tcPr>
            <w:tcW w:w="1600" w:type="dxa"/>
            <w:tcMar>
              <w:top w:w="100" w:type="dxa"/>
              <w:left w:w="100" w:type="dxa"/>
              <w:bottom w:w="100" w:type="dxa"/>
              <w:right w:w="100" w:type="dxa"/>
            </w:tcMar>
          </w:tcPr>
          <w:p w14:paraId="4F789867" w14:textId="77777777" w:rsidR="00012C61" w:rsidRDefault="00000000">
            <w:r>
              <w:t>0.00</w:t>
            </w:r>
          </w:p>
        </w:tc>
        <w:tc>
          <w:tcPr>
            <w:tcW w:w="1000" w:type="dxa"/>
            <w:tcMar>
              <w:top w:w="100" w:type="dxa"/>
              <w:left w:w="100" w:type="dxa"/>
              <w:bottom w:w="100" w:type="dxa"/>
              <w:right w:w="100" w:type="dxa"/>
            </w:tcMar>
          </w:tcPr>
          <w:p w14:paraId="607B7B1C" w14:textId="77777777" w:rsidR="00012C61" w:rsidRDefault="00000000">
            <w:r>
              <w:t>16,394</w:t>
            </w:r>
          </w:p>
        </w:tc>
      </w:tr>
      <w:tr w:rsidR="00012C61" w14:paraId="27A3D04F" w14:textId="77777777">
        <w:tc>
          <w:tcPr>
            <w:tcW w:w="1400" w:type="dxa"/>
            <w:tcMar>
              <w:top w:w="100" w:type="dxa"/>
              <w:left w:w="100" w:type="dxa"/>
              <w:bottom w:w="100" w:type="dxa"/>
              <w:right w:w="100" w:type="dxa"/>
            </w:tcMar>
          </w:tcPr>
          <w:p w14:paraId="2CEAD8A9" w14:textId="77777777" w:rsidR="00012C61" w:rsidRDefault="00000000">
            <w:r>
              <w:t>2</w:t>
            </w:r>
          </w:p>
        </w:tc>
        <w:tc>
          <w:tcPr>
            <w:tcW w:w="1600" w:type="dxa"/>
            <w:tcMar>
              <w:top w:w="100" w:type="dxa"/>
              <w:left w:w="100" w:type="dxa"/>
              <w:bottom w:w="100" w:type="dxa"/>
              <w:right w:w="100" w:type="dxa"/>
            </w:tcMar>
          </w:tcPr>
          <w:p w14:paraId="4886A156" w14:textId="77777777" w:rsidR="00012C61" w:rsidRDefault="00000000">
            <w:r>
              <w:t>74,487</w:t>
            </w:r>
          </w:p>
        </w:tc>
        <w:tc>
          <w:tcPr>
            <w:tcW w:w="2000" w:type="dxa"/>
            <w:tcMar>
              <w:top w:w="100" w:type="dxa"/>
              <w:left w:w="100" w:type="dxa"/>
              <w:bottom w:w="100" w:type="dxa"/>
              <w:right w:w="100" w:type="dxa"/>
            </w:tcMar>
          </w:tcPr>
          <w:p w14:paraId="6FE84731" w14:textId="77777777" w:rsidR="00012C61" w:rsidRDefault="00000000">
            <w:r>
              <w:t>$5,381</w:t>
            </w:r>
          </w:p>
        </w:tc>
        <w:tc>
          <w:tcPr>
            <w:tcW w:w="1800" w:type="dxa"/>
            <w:tcMar>
              <w:top w:w="100" w:type="dxa"/>
              <w:left w:w="100" w:type="dxa"/>
              <w:bottom w:w="100" w:type="dxa"/>
              <w:right w:w="100" w:type="dxa"/>
            </w:tcMar>
          </w:tcPr>
          <w:p w14:paraId="3D0012AB" w14:textId="77777777" w:rsidR="00012C61" w:rsidRDefault="00000000">
            <w:r>
              <w:t>$1,348</w:t>
            </w:r>
          </w:p>
        </w:tc>
        <w:tc>
          <w:tcPr>
            <w:tcW w:w="1600" w:type="dxa"/>
            <w:tcMar>
              <w:top w:w="100" w:type="dxa"/>
              <w:left w:w="100" w:type="dxa"/>
              <w:bottom w:w="100" w:type="dxa"/>
              <w:right w:w="100" w:type="dxa"/>
            </w:tcMar>
          </w:tcPr>
          <w:p w14:paraId="46D90B4E" w14:textId="77777777" w:rsidR="00012C61" w:rsidRDefault="00000000">
            <w:r>
              <w:t>1.00</w:t>
            </w:r>
          </w:p>
        </w:tc>
        <w:tc>
          <w:tcPr>
            <w:tcW w:w="1000" w:type="dxa"/>
            <w:tcMar>
              <w:top w:w="100" w:type="dxa"/>
              <w:left w:w="100" w:type="dxa"/>
              <w:bottom w:w="100" w:type="dxa"/>
              <w:right w:w="100" w:type="dxa"/>
            </w:tcMar>
          </w:tcPr>
          <w:p w14:paraId="0F93795E" w14:textId="77777777" w:rsidR="00012C61" w:rsidRDefault="00000000">
            <w:r>
              <w:t>5,350</w:t>
            </w:r>
          </w:p>
        </w:tc>
      </w:tr>
    </w:tbl>
    <w:p w14:paraId="527B3346" w14:textId="77777777" w:rsidR="00012C61" w:rsidRDefault="00012C61">
      <w:pPr>
        <w:spacing w:after="100"/>
      </w:pPr>
    </w:p>
    <w:p w14:paraId="5B6AF6B2" w14:textId="77777777" w:rsidR="00012C61" w:rsidRDefault="00000000">
      <w:pPr>
        <w:spacing w:after="150"/>
      </w:pPr>
      <w:r>
        <w:t xml:space="preserve">Cluster 2 stands out sharply: it has an </w:t>
      </w:r>
      <w:proofErr w:type="spellStart"/>
      <w:r>
        <w:t>IsBadBuy</w:t>
      </w:r>
      <w:proofErr w:type="spellEnd"/>
      <w:r>
        <w:t xml:space="preserve"> rate of exactly 1.00 (i.e., every vehicle in this cluster is a confirmed bad buy), despite having the lowest average auction price ($5,381) of the three clusters. Clusters 0 and 1 both have a 0.00 bad-buy rate but differ substantially in mileage and warranty cost — Cluster 0 vehicles have the highest mileage (80,964) and highest warranty cost ($1,571), while Cluster 1 vehicles have noticeably lower mileage (58,696) and the lowest warranty cost ($892).</w:t>
      </w:r>
    </w:p>
    <w:p w14:paraId="3186E494" w14:textId="5DDD23CA" w:rsidR="00012C61" w:rsidRDefault="00000000">
      <w:pPr>
        <w:pStyle w:val="Heading3"/>
        <w:spacing w:before="200" w:after="100"/>
      </w:pPr>
      <w:r>
        <w:t xml:space="preserve">7.2.4 </w:t>
      </w:r>
      <w:r w:rsidR="00F3416F">
        <w:t>Normalization</w:t>
      </w:r>
      <w:r>
        <w:t>/</w:t>
      </w:r>
      <w:r w:rsidR="00F3416F">
        <w:t>Standardization</w:t>
      </w:r>
      <w:r>
        <w:t xml:space="preserve"> Discussion</w:t>
      </w:r>
    </w:p>
    <w:p w14:paraId="1EFBDA68" w14:textId="7EFA7F83" w:rsidR="00012C61" w:rsidRDefault="00F3416F">
      <w:pPr>
        <w:spacing w:after="150"/>
      </w:pPr>
      <w:r>
        <w:t xml:space="preserve">Standardization was applied prior to clustering (Section 7.1). Without it, </w:t>
      </w:r>
      <w:proofErr w:type="spellStart"/>
      <w:r>
        <w:t>VehOdo</w:t>
      </w:r>
      <w:proofErr w:type="spellEnd"/>
      <w:r>
        <w:t xml:space="preserve"> (with values in the tens of thousands) would dominate the Euclidean distance calculation relative to </w:t>
      </w:r>
      <w:proofErr w:type="spellStart"/>
      <w:r>
        <w:t>WarrantyCost</w:t>
      </w:r>
      <w:proofErr w:type="spellEnd"/>
      <w:r>
        <w:t xml:space="preserve"> and </w:t>
      </w:r>
      <w:proofErr w:type="spellStart"/>
      <w:r>
        <w:t>IsBadBuy</w:t>
      </w:r>
      <w:proofErr w:type="spellEnd"/>
      <w:r>
        <w:t xml:space="preserve">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2A297D77" w:rsidR="00012C61" w:rsidRDefault="00000000">
      <w:pPr>
        <w:pStyle w:val="Heading2"/>
        <w:spacing w:before="300" w:after="150"/>
      </w:pPr>
      <w:r>
        <w:t xml:space="preserve">7.3 </w:t>
      </w:r>
      <w:r w:rsidR="00F3416F">
        <w:t>Visualizing</w:t>
      </w:r>
      <w:r>
        <w:t xml:space="preserve"> and Labelling Clusters</w:t>
      </w:r>
    </w:p>
    <w:p w14:paraId="19C1E900" w14:textId="1DF5A83C" w:rsidR="00012C61" w:rsidRDefault="00360599">
      <w:pPr>
        <w:spacing w:after="300"/>
        <w:jc w:val="center"/>
      </w:pPr>
      <w:r>
        <w:rPr>
          <w:noProof/>
        </w:rPr>
        <w:drawing>
          <wp:inline distT="0" distB="0" distL="0" distR="0" wp14:anchorId="4C69A736" wp14:editId="2B54D6D2">
            <wp:extent cx="5642435" cy="5128577"/>
            <wp:effectExtent l="0" t="0" r="0" b="0"/>
            <wp:docPr id="1948292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43694" cy="5129721"/>
                    </a:xfrm>
                    <a:prstGeom prst="rect">
                      <a:avLst/>
                    </a:prstGeom>
                    <a:noFill/>
                    <a:ln>
                      <a:noFill/>
                    </a:ln>
                  </pic:spPr>
                </pic:pic>
              </a:graphicData>
            </a:graphic>
          </wp:inline>
        </w:drawing>
      </w:r>
      <w:r>
        <w:rPr>
          <w:i/>
          <w:iCs/>
          <w:sz w:val="18"/>
          <w:szCs w:val="18"/>
        </w:rPr>
        <w:t xml:space="preserve">Figure 7.2: </w:t>
      </w:r>
      <w:proofErr w:type="spellStart"/>
      <w:r>
        <w:rPr>
          <w:i/>
          <w:iCs/>
          <w:sz w:val="18"/>
          <w:szCs w:val="18"/>
        </w:rPr>
        <w:t>Pairplot</w:t>
      </w:r>
      <w:proofErr w:type="spellEnd"/>
      <w:r>
        <w:rPr>
          <w:i/>
          <w:iCs/>
          <w:sz w:val="18"/>
          <w:szCs w:val="18"/>
        </w:rPr>
        <w:t xml:space="preserve"> of </w:t>
      </w:r>
      <w:proofErr w:type="spellStart"/>
      <w:r>
        <w:rPr>
          <w:i/>
          <w:iCs/>
          <w:sz w:val="18"/>
          <w:szCs w:val="18"/>
        </w:rPr>
        <w:t>VehOdo</w:t>
      </w:r>
      <w:proofErr w:type="spellEnd"/>
      <w:r>
        <w:rPr>
          <w:i/>
          <w:iCs/>
          <w:sz w:val="18"/>
          <w:szCs w:val="18"/>
        </w:rPr>
        <w:t xml:space="preserve">, </w:t>
      </w:r>
      <w:proofErr w:type="spellStart"/>
      <w:r>
        <w:rPr>
          <w:i/>
          <w:iCs/>
          <w:sz w:val="18"/>
          <w:szCs w:val="18"/>
        </w:rPr>
        <w:t>AuctionAvgPrice</w:t>
      </w:r>
      <w:proofErr w:type="spellEnd"/>
      <w:r>
        <w:rPr>
          <w:i/>
          <w:iCs/>
          <w:sz w:val="18"/>
          <w:szCs w:val="18"/>
        </w:rPr>
        <w:t xml:space="preserve">, </w:t>
      </w:r>
      <w:proofErr w:type="spellStart"/>
      <w:r>
        <w:rPr>
          <w:i/>
          <w:iCs/>
          <w:sz w:val="18"/>
          <w:szCs w:val="18"/>
        </w:rPr>
        <w:t>WarrantyCost</w:t>
      </w:r>
      <w:proofErr w:type="spellEnd"/>
      <w:r>
        <w:rPr>
          <w:i/>
          <w:iCs/>
          <w:sz w:val="18"/>
          <w:szCs w:val="18"/>
        </w:rPr>
        <w:t xml:space="preserve"> by cluster (2,000-row sample).</w:t>
      </w:r>
    </w:p>
    <w:p w14:paraId="3F1467E9" w14:textId="77777777" w:rsidR="00012C61" w:rsidRDefault="00000000">
      <w:pPr>
        <w:pStyle w:val="Heading3"/>
        <w:spacing w:before="200" w:after="100"/>
      </w:pPr>
      <w:r>
        <w:t>Descriptive Cluster Labels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000"/>
      </w:tblGrid>
      <w:tr w:rsidR="00012C61" w14:paraId="6136EE50" w14:textId="77777777">
        <w:trPr>
          <w:tblHeader/>
        </w:trPr>
        <w:tc>
          <w:tcPr>
            <w:tcW w:w="1200" w:type="dxa"/>
            <w:shd w:val="clear" w:color="auto" w:fill="DDEBF7"/>
            <w:tcMar>
              <w:top w:w="100" w:type="dxa"/>
              <w:left w:w="100" w:type="dxa"/>
              <w:bottom w:w="100" w:type="dxa"/>
              <w:right w:w="100" w:type="dxa"/>
            </w:tcMar>
          </w:tcPr>
          <w:p w14:paraId="0CE3375B" w14:textId="77777777" w:rsidR="00012C61" w:rsidRDefault="00000000">
            <w:r>
              <w:rPr>
                <w:b/>
                <w:bCs/>
              </w:rPr>
              <w:t>Cluster</w:t>
            </w:r>
          </w:p>
        </w:tc>
        <w:tc>
          <w:tcPr>
            <w:tcW w:w="2800" w:type="dxa"/>
            <w:shd w:val="clear" w:color="auto" w:fill="DDEBF7"/>
            <w:tcMar>
              <w:top w:w="100" w:type="dxa"/>
              <w:left w:w="100" w:type="dxa"/>
              <w:bottom w:w="100" w:type="dxa"/>
              <w:right w:w="100" w:type="dxa"/>
            </w:tcMar>
          </w:tcPr>
          <w:p w14:paraId="03CF4C25" w14:textId="77777777" w:rsidR="00012C61" w:rsidRDefault="00000000">
            <w:r>
              <w:rPr>
                <w:b/>
                <w:bCs/>
              </w:rPr>
              <w:t>Label</w:t>
            </w:r>
          </w:p>
        </w:tc>
        <w:tc>
          <w:tcPr>
            <w:tcW w:w="5000" w:type="dxa"/>
            <w:shd w:val="clear" w:color="auto" w:fill="DDEBF7"/>
            <w:tcMar>
              <w:top w:w="100" w:type="dxa"/>
              <w:left w:w="100" w:type="dxa"/>
              <w:bottom w:w="100" w:type="dxa"/>
              <w:right w:w="100" w:type="dxa"/>
            </w:tcMar>
          </w:tcPr>
          <w:p w14:paraId="42A8CFC1" w14:textId="77777777" w:rsidR="00012C61" w:rsidRDefault="00000000">
            <w:r>
              <w:rPr>
                <w:b/>
                <w:bCs/>
              </w:rPr>
              <w:t>Defining Characteristics</w:t>
            </w:r>
          </w:p>
        </w:tc>
      </w:tr>
      <w:tr w:rsidR="00012C61" w14:paraId="67A84380" w14:textId="77777777">
        <w:tc>
          <w:tcPr>
            <w:tcW w:w="1200" w:type="dxa"/>
            <w:tcMar>
              <w:top w:w="100" w:type="dxa"/>
              <w:left w:w="100" w:type="dxa"/>
              <w:bottom w:w="100" w:type="dxa"/>
              <w:right w:w="100" w:type="dxa"/>
            </w:tcMar>
          </w:tcPr>
          <w:p w14:paraId="13614CAE" w14:textId="77777777" w:rsidR="00012C61" w:rsidRDefault="00000000">
            <w:r>
              <w:t>2</w:t>
            </w:r>
          </w:p>
        </w:tc>
        <w:tc>
          <w:tcPr>
            <w:tcW w:w="2800" w:type="dxa"/>
            <w:tcMar>
              <w:top w:w="100" w:type="dxa"/>
              <w:left w:w="100" w:type="dxa"/>
              <w:bottom w:w="100" w:type="dxa"/>
              <w:right w:w="100" w:type="dxa"/>
            </w:tcMar>
          </w:tcPr>
          <w:p w14:paraId="16C76BFB" w14:textId="77777777" w:rsidR="00012C61" w:rsidRDefault="00000000">
            <w:r>
              <w:t>Standard Kicks</w:t>
            </w:r>
          </w:p>
        </w:tc>
        <w:tc>
          <w:tcPr>
            <w:tcW w:w="5000" w:type="dxa"/>
            <w:tcMar>
              <w:top w:w="100" w:type="dxa"/>
              <w:left w:w="100" w:type="dxa"/>
              <w:bottom w:w="100" w:type="dxa"/>
              <w:right w:w="100" w:type="dxa"/>
            </w:tcMar>
          </w:tcPr>
          <w:p w14:paraId="7B863B92" w14:textId="77777777" w:rsidR="00012C61" w:rsidRDefault="00000000">
            <w:r>
              <w:t xml:space="preserve">Average mileage and cost, but a 100% </w:t>
            </w:r>
            <w:proofErr w:type="spellStart"/>
            <w:r>
              <w:t>IsBadBuy</w:t>
            </w:r>
            <w:proofErr w:type="spellEnd"/>
            <w:r>
              <w:t xml:space="preserve"> rate — the definitive 'bad buys' the dealership needs to identify and avoid.</w:t>
            </w:r>
          </w:p>
        </w:tc>
      </w:tr>
      <w:tr w:rsidR="00012C61" w14:paraId="0C440ECB" w14:textId="77777777">
        <w:tc>
          <w:tcPr>
            <w:tcW w:w="1200" w:type="dxa"/>
            <w:tcMar>
              <w:top w:w="100" w:type="dxa"/>
              <w:left w:w="100" w:type="dxa"/>
              <w:bottom w:w="100" w:type="dxa"/>
              <w:right w:w="100" w:type="dxa"/>
            </w:tcMar>
          </w:tcPr>
          <w:p w14:paraId="3D328242" w14:textId="77777777" w:rsidR="00012C61" w:rsidRDefault="00000000">
            <w:r>
              <w:t>0</w:t>
            </w:r>
          </w:p>
        </w:tc>
        <w:tc>
          <w:tcPr>
            <w:tcW w:w="2800" w:type="dxa"/>
            <w:tcMar>
              <w:top w:w="100" w:type="dxa"/>
              <w:left w:w="100" w:type="dxa"/>
              <w:bottom w:w="100" w:type="dxa"/>
              <w:right w:w="100" w:type="dxa"/>
            </w:tcMar>
          </w:tcPr>
          <w:p w14:paraId="55BBE203" w14:textId="77777777" w:rsidR="00012C61" w:rsidRDefault="00000000">
            <w:r>
              <w:t>High Mileage, High Warranty</w:t>
            </w:r>
          </w:p>
        </w:tc>
        <w:tc>
          <w:tcPr>
            <w:tcW w:w="5000" w:type="dxa"/>
            <w:tcMar>
              <w:top w:w="100" w:type="dxa"/>
              <w:left w:w="100" w:type="dxa"/>
              <w:bottom w:w="100" w:type="dxa"/>
              <w:right w:w="100" w:type="dxa"/>
            </w:tcMar>
          </w:tcPr>
          <w:p w14:paraId="23DA643C" w14:textId="77777777" w:rsidR="00012C61" w:rsidRDefault="00000000">
            <w:r>
              <w:t>Highest odometer readings and highest warranty costs; a potentially risky segment due to mechanical wear despite a 0% recorded bad-buy rate.</w:t>
            </w:r>
          </w:p>
        </w:tc>
      </w:tr>
      <w:tr w:rsidR="00012C61" w14:paraId="27869EB6" w14:textId="77777777">
        <w:tc>
          <w:tcPr>
            <w:tcW w:w="1200" w:type="dxa"/>
            <w:tcMar>
              <w:top w:w="100" w:type="dxa"/>
              <w:left w:w="100" w:type="dxa"/>
              <w:bottom w:w="100" w:type="dxa"/>
              <w:right w:w="100" w:type="dxa"/>
            </w:tcMar>
          </w:tcPr>
          <w:p w14:paraId="29F82FAE" w14:textId="77777777" w:rsidR="00012C61" w:rsidRDefault="00000000">
            <w:r>
              <w:t>1</w:t>
            </w:r>
          </w:p>
        </w:tc>
        <w:tc>
          <w:tcPr>
            <w:tcW w:w="2800" w:type="dxa"/>
            <w:tcMar>
              <w:top w:w="100" w:type="dxa"/>
              <w:left w:w="100" w:type="dxa"/>
              <w:bottom w:w="100" w:type="dxa"/>
              <w:right w:w="100" w:type="dxa"/>
            </w:tcMar>
          </w:tcPr>
          <w:p w14:paraId="3149E6F3" w14:textId="77777777" w:rsidR="00012C61" w:rsidRDefault="00000000">
            <w:r>
              <w:t>Low Risk, Budget Fleet</w:t>
            </w:r>
          </w:p>
        </w:tc>
        <w:tc>
          <w:tcPr>
            <w:tcW w:w="5000" w:type="dxa"/>
            <w:tcMar>
              <w:top w:w="100" w:type="dxa"/>
              <w:left w:w="100" w:type="dxa"/>
              <w:bottom w:w="100" w:type="dxa"/>
              <w:right w:w="100" w:type="dxa"/>
            </w:tcMar>
          </w:tcPr>
          <w:p w14:paraId="7B2DCFB7" w14:textId="77777777" w:rsidR="00012C61" w:rsidRDefault="00000000">
            <w:r>
              <w:t>Lowest mileage and lowest warranty cost, with a 0% bad-buy rate — the safest and most reliable segment.</w:t>
            </w:r>
          </w:p>
        </w:tc>
      </w:tr>
    </w:tbl>
    <w:p w14:paraId="72837013" w14:textId="37AEA320" w:rsidR="00012C61" w:rsidRDefault="00161779">
      <w:pPr>
        <w:spacing w:after="100"/>
      </w:pPr>
      <w:r w:rsidRPr="00161779">
        <w:t>In Figure 7.2, Cluster 1 (orange) clearly separates out in the bottom-left corner with the lowest mileage and warranty costs, while the bad-buy vehicles in Cluster 2 (green) mostly sit in the middle-to-high mileage range with lower average auction prices.</w:t>
      </w:r>
    </w:p>
    <w:p w14:paraId="4B78D350" w14:textId="77777777" w:rsidR="00012C61" w:rsidRDefault="00000000">
      <w:pPr>
        <w:pStyle w:val="Heading2"/>
        <w:spacing w:before="300" w:after="150"/>
      </w:pPr>
      <w:r>
        <w:t>7.4 Clustering Model Including 'Make'</w:t>
      </w:r>
    </w:p>
    <w:p w14:paraId="754F85EA" w14:textId="77777777" w:rsidR="00012C61" w:rsidRDefault="00000000">
      <w:pPr>
        <w:spacing w:after="150"/>
      </w:pPr>
      <w:r>
        <w:t>Algorithm chosen: K-Prototypes. Since Make is a categorical string variable, standard K-Means cannot compute a Euclidean distance on it directly. K-Prototypes handles this by combining Euclidean distance for the numeric attributes with a simple matching dissimilarity measure for categorical attributes, allowing both data types to be clustered jointly. The same K = 3 and the same StandardScaler fit from Section 7.2 were reused for the numeric attributes, consistent with the assignment's instruction to use the best settings identified earlier.</w:t>
      </w:r>
    </w:p>
    <w:p w14:paraId="6DC277A9" w14:textId="2ED36A96" w:rsidR="00012C61" w:rsidRDefault="00012C61">
      <w:pPr>
        <w:spacing w:after="3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proofErr w:type="spellStart"/>
            <w:r>
              <w:rPr>
                <w:b/>
                <w:bCs/>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proofErr w:type="spellStart"/>
            <w:r>
              <w:rPr>
                <w:b/>
                <w:bCs/>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Default="00000000">
            <w:proofErr w:type="spellStart"/>
            <w:r>
              <w:rPr>
                <w:b/>
                <w:bCs/>
              </w:rPr>
              <w:t>IsBadBuy</w:t>
            </w:r>
            <w:proofErr w:type="spellEnd"/>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7777777" w:rsidR="00012C61" w:rsidRDefault="00000000">
            <w:r>
              <w:t>74,479</w:t>
            </w:r>
          </w:p>
        </w:tc>
        <w:tc>
          <w:tcPr>
            <w:tcW w:w="1400" w:type="dxa"/>
            <w:tcMar>
              <w:top w:w="100" w:type="dxa"/>
              <w:left w:w="100" w:type="dxa"/>
              <w:bottom w:w="100" w:type="dxa"/>
              <w:right w:w="100" w:type="dxa"/>
            </w:tcMar>
          </w:tcPr>
          <w:p w14:paraId="08C834B4" w14:textId="77777777" w:rsidR="00012C61" w:rsidRDefault="00000000">
            <w:r>
              <w:t>$5,384</w:t>
            </w:r>
          </w:p>
        </w:tc>
        <w:tc>
          <w:tcPr>
            <w:tcW w:w="1800" w:type="dxa"/>
            <w:tcMar>
              <w:top w:w="100" w:type="dxa"/>
              <w:left w:w="100" w:type="dxa"/>
              <w:bottom w:w="100" w:type="dxa"/>
              <w:right w:w="100" w:type="dxa"/>
            </w:tcMar>
          </w:tcPr>
          <w:p w14:paraId="039AA5DA" w14:textId="77777777" w:rsidR="00012C61" w:rsidRDefault="00000000">
            <w:r>
              <w:t>$1,348</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77777777" w:rsidR="00012C61" w:rsidRDefault="00000000">
            <w:r>
              <w:t>80,929</w:t>
            </w:r>
          </w:p>
        </w:tc>
        <w:tc>
          <w:tcPr>
            <w:tcW w:w="1400" w:type="dxa"/>
            <w:tcMar>
              <w:top w:w="100" w:type="dxa"/>
              <w:left w:w="100" w:type="dxa"/>
              <w:bottom w:w="100" w:type="dxa"/>
              <w:right w:w="100" w:type="dxa"/>
            </w:tcMar>
          </w:tcPr>
          <w:p w14:paraId="65A7B92C" w14:textId="77777777" w:rsidR="00012C61" w:rsidRDefault="00000000">
            <w:r>
              <w:t>$6,335</w:t>
            </w:r>
          </w:p>
        </w:tc>
        <w:tc>
          <w:tcPr>
            <w:tcW w:w="1800" w:type="dxa"/>
            <w:tcMar>
              <w:top w:w="100" w:type="dxa"/>
              <w:left w:w="100" w:type="dxa"/>
              <w:bottom w:w="100" w:type="dxa"/>
              <w:right w:w="100" w:type="dxa"/>
            </w:tcMar>
          </w:tcPr>
          <w:p w14:paraId="6E77B415" w14:textId="77777777" w:rsidR="00012C61" w:rsidRDefault="00000000">
            <w:r>
              <w:t>$1,570</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77777777" w:rsidR="00012C61" w:rsidRDefault="00000000">
            <w:r>
              <w:t>58,701</w:t>
            </w:r>
          </w:p>
        </w:tc>
        <w:tc>
          <w:tcPr>
            <w:tcW w:w="1400" w:type="dxa"/>
            <w:tcMar>
              <w:top w:w="100" w:type="dxa"/>
              <w:left w:w="100" w:type="dxa"/>
              <w:bottom w:w="100" w:type="dxa"/>
              <w:right w:w="100" w:type="dxa"/>
            </w:tcMar>
          </w:tcPr>
          <w:p w14:paraId="04BBBED6" w14:textId="77777777" w:rsidR="00012C61" w:rsidRDefault="00000000">
            <w:r>
              <w:t>$6,140</w:t>
            </w:r>
          </w:p>
        </w:tc>
        <w:tc>
          <w:tcPr>
            <w:tcW w:w="1800" w:type="dxa"/>
            <w:tcMar>
              <w:top w:w="100" w:type="dxa"/>
              <w:left w:w="100" w:type="dxa"/>
              <w:bottom w:w="100" w:type="dxa"/>
              <w:right w:w="100" w:type="dxa"/>
            </w:tcMar>
          </w:tcPr>
          <w:p w14:paraId="3194BB09" w14:textId="77777777" w:rsidR="00012C61" w:rsidRDefault="00000000">
            <w:r>
              <w:t>$892</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430E3F5A" w14:textId="77777777" w:rsidR="00012C61" w:rsidRDefault="00000000">
      <w:pPr>
        <w:spacing w:after="150"/>
      </w:pPr>
      <w:r>
        <w:t>The cluster numbering differs from the numeric-only K-Means model, but the underlying group characteristics are the same three profiles: a 100%-bad-buy group (numeric-only Cluster 2 ≈ K-Prototypes Cluster 0), a high-mileage/high-warranty-but-reliable group (Cluster 0 ≈ Cluster 1), and a low-mileage/low-cost/reliable group (Cluster 1 ≈ Cluster 2). What K-Prototypes adds is a dominant Make per cluster: FORD is concentrated in the bad-buy cluster, CHEVROLET in the high-mileage-but-reliable cluster, and DODGE in the low-risk cluster. This shows that vehicle make carries additional discriminative information beyond price, mileage, and warranty cost alone — the numeric-only model could identify risk segments, but only the mixed-type model reveals which brands are associated with each segment.</w:t>
      </w:r>
    </w:p>
    <w:p w14:paraId="14A1399D" w14:textId="77777777" w:rsidR="00012C61" w:rsidRDefault="00000000">
      <w:pPr>
        <w:pStyle w:val="Heading2"/>
        <w:spacing w:before="300" w:after="150"/>
      </w:pPr>
      <w:r>
        <w:t>7.5 Practical Implications for Decision-Makers</w:t>
      </w:r>
    </w:p>
    <w:p w14:paraId="082BEE51" w14:textId="77777777" w:rsidR="00012C61" w:rsidRDefault="00000000">
      <w:pPr>
        <w:pStyle w:val="ListParagraph"/>
        <w:numPr>
          <w:ilvl w:val="0"/>
          <w:numId w:val="1"/>
        </w:numPr>
        <w:spacing w:after="80"/>
      </w:pPr>
      <w:r>
        <w:t>Avoid risky auction buys: buyers should exercise particular caution with vehicles resembling the bad-buy cluster profile — notably FORD vehicles priced under roughly $5,500 with over 70,000 miles — as these carry a substantially elevated risk of being a 'kick'. Such vehicles should be thoroughly inspected before bidding, or avoided.</w:t>
      </w:r>
    </w:p>
    <w:p w14:paraId="18624855" w14:textId="7F930809" w:rsidR="00012C61" w:rsidRDefault="00000000">
      <w:pPr>
        <w:pStyle w:val="ListParagraph"/>
        <w:numPr>
          <w:ilvl w:val="0"/>
          <w:numId w:val="1"/>
        </w:numPr>
        <w:spacing w:after="80"/>
      </w:pPr>
      <w:r>
        <w:t>Prioriti</w:t>
      </w:r>
      <w:r w:rsidR="00F3416F">
        <w:t>z</w:t>
      </w:r>
      <w:r>
        <w:t>e reliable inventory: vehicles matching the low-risk cluster profile (predominantly DODGE, low mileage, low warranty cost) represent comparatively safe purchases that can be resold to retail customers with minimal expected repair overhead.</w:t>
      </w:r>
    </w:p>
    <w:p w14:paraId="0D7DB37B" w14:textId="77777777" w:rsidR="00012C61" w:rsidRDefault="00000000">
      <w:pPr>
        <w:pStyle w:val="ListParagraph"/>
        <w:numPr>
          <w:ilvl w:val="0"/>
          <w:numId w:val="1"/>
        </w:numPr>
        <w:spacing w:after="80"/>
      </w:pPr>
      <w:r>
        <w:t>Price in warranty risk: vehicles in the high-mileage/high-warranty cluster (predominantly CHEVROLET) are not classified as bad buys, but carry a warranty cost roughly 76% higher than the low-risk cluster ($1,570 vs. $892). The dealership should factor this into resale pricing to cover the higher expected post-sale repair costs.</w:t>
      </w:r>
    </w:p>
    <w:p w14:paraId="2A5B3DEB" w14:textId="77777777" w:rsidR="00012C61" w:rsidRDefault="00000000">
      <w:r>
        <w:br w:type="page"/>
      </w:r>
    </w:p>
    <w:p w14:paraId="096317BF" w14:textId="77777777" w:rsidR="00012C61" w:rsidRDefault="00000000">
      <w:pPr>
        <w:pStyle w:val="Heading1"/>
        <w:spacing w:before="400" w:after="200"/>
      </w:pPr>
      <w:r>
        <w:t xml:space="preserve">Task 8: Time Series Forecasting with LSTM on the </w:t>
      </w:r>
      <w:proofErr w:type="spellStart"/>
      <w:r>
        <w:t>AgriWebb</w:t>
      </w:r>
      <w:proofErr w:type="spellEnd"/>
      <w:r>
        <w:t xml:space="preserve">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w:t>
      </w:r>
      <w:proofErr w:type="spellStart"/>
      <w:r>
        <w:t>SequenceLSTM</w:t>
      </w:r>
      <w:proofErr w:type="spellEnd"/>
      <w:r>
        <w:t xml:space="preserve"> with </w:t>
      </w:r>
      <w:proofErr w:type="spellStart"/>
      <w:r>
        <w:t>num_features</w:t>
      </w:r>
      <w:proofErr w:type="spellEnd"/>
      <w:r>
        <w:t xml:space="preserve"> = 1 (TSDM only), </w:t>
      </w:r>
      <w:proofErr w:type="spellStart"/>
      <w:r>
        <w:t>hidden_size</w:t>
      </w:r>
      <w:proofErr w:type="spellEnd"/>
      <w:r>
        <w:t xml:space="preserve"> = 16, </w:t>
      </w:r>
      <w:proofErr w:type="spellStart"/>
      <w:r>
        <w:t>num_layers</w:t>
      </w:r>
      <w:proofErr w:type="spellEnd"/>
      <w:r>
        <w:t xml:space="preserve"> = 2, </w:t>
      </w:r>
      <w:proofErr w:type="spellStart"/>
      <w:r>
        <w:t>output_size</w:t>
      </w:r>
      <w:proofErr w:type="spellEnd"/>
      <w:r>
        <w:t xml:space="preserve"> = 5 (</w:t>
      </w:r>
      <w:proofErr w:type="spellStart"/>
      <w:r>
        <w:t>forecast_horizon</w:t>
      </w:r>
      <w:proofErr w:type="spellEnd"/>
      <w:r>
        <w:t>), dropout = 0.2 (</w:t>
      </w:r>
      <w:proofErr w:type="spellStart"/>
      <w:r>
        <w:t>PyTorch</w:t>
      </w:r>
      <w:proofErr w:type="spellEnd"/>
      <w:r>
        <w:t xml:space="preserve"> default in the model class, applied between LSTM layers and before the final linear layer).</w:t>
      </w:r>
    </w:p>
    <w:p w14:paraId="0E690563" w14:textId="3E99FF80" w:rsidR="00012C61" w:rsidRDefault="00000000">
      <w:pPr>
        <w:spacing w:after="150"/>
      </w:pPr>
      <w:r>
        <w:t xml:space="preserve">Training: Adam </w:t>
      </w:r>
      <w:r w:rsidR="00F3416F">
        <w:t>optimizer</w:t>
      </w:r>
      <w:r>
        <w:t>, learning rate = 0.001, 250 epochs, batch size 32, MSE loss, with an 80/20 internal train/validation split used to select the best-performing model checkpoint (lowest validation loss) across training.</w:t>
      </w:r>
    </w:p>
    <w:p w14:paraId="6E00665A" w14:textId="0A835FC9" w:rsidR="00012C61" w:rsidRDefault="00000000">
      <w:pPr>
        <w:spacing w:after="150"/>
      </w:pPr>
      <w:r>
        <w:t xml:space="preserve">Hyperparameter selection: </w:t>
      </w:r>
      <w:proofErr w:type="spellStart"/>
      <w:r>
        <w:t>hidden_size</w:t>
      </w:r>
      <w:proofErr w:type="spellEnd"/>
      <w:r>
        <w:t xml:space="preserve"> and </w:t>
      </w:r>
      <w:proofErr w:type="spellStart"/>
      <w:r>
        <w:t>num_layers</w:t>
      </w:r>
      <w:proofErr w:type="spellEnd"/>
      <w:r>
        <w:t xml:space="preserve"> were set based on standard practice for small univariate sequence problems (a small hidden layer size relative to the very short 5-step lookback avoids over-</w:t>
      </w:r>
      <w:r w:rsidR="00F3416F">
        <w:t>parameterizing</w:t>
      </w:r>
      <w:r>
        <w:t xml:space="preserve"> the model for such a simple input), rather than an exhaustive grid search; learning rate (0.001) and epoch count (250) follow common defaults for Adam-</w:t>
      </w:r>
      <w:r w:rsidR="00F3416F">
        <w:t>optimized</w:t>
      </w:r>
      <w:r>
        <w:t xml:space="preserve"> LSTMs and were confirmed adequate by observing the loss curve plateauing well before 250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0.7007 (</w:t>
            </w:r>
            <w:proofErr w:type="spellStart"/>
            <w:r>
              <w:t>standardised</w:t>
            </w:r>
            <w:proofErr w:type="spellEnd"/>
            <w:r>
              <w:t>)</w:t>
            </w:r>
          </w:p>
        </w:tc>
        <w:tc>
          <w:tcPr>
            <w:tcW w:w="3000" w:type="dxa"/>
            <w:tcMar>
              <w:top w:w="100" w:type="dxa"/>
              <w:left w:w="100" w:type="dxa"/>
              <w:bottom w:w="100" w:type="dxa"/>
              <w:right w:w="100" w:type="dxa"/>
            </w:tcMar>
          </w:tcPr>
          <w:p w14:paraId="3483215B" w14:textId="77777777" w:rsidR="00012C61" w:rsidRDefault="00000000">
            <w:r>
              <w:t>346.88 (original units)</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0.5081</w:t>
            </w:r>
          </w:p>
        </w:tc>
        <w:tc>
          <w:tcPr>
            <w:tcW w:w="3000" w:type="dxa"/>
            <w:tcMar>
              <w:top w:w="100" w:type="dxa"/>
              <w:left w:w="100" w:type="dxa"/>
              <w:bottom w:w="100" w:type="dxa"/>
              <w:right w:w="100" w:type="dxa"/>
            </w:tcMar>
          </w:tcPr>
          <w:p w14:paraId="20A2469B" w14:textId="77777777" w:rsidR="00012C61" w:rsidRDefault="00000000">
            <w:r>
              <w:t>0.3146</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0.9122</w:t>
            </w:r>
          </w:p>
        </w:tc>
        <w:tc>
          <w:tcPr>
            <w:tcW w:w="3000" w:type="dxa"/>
            <w:tcMar>
              <w:top w:w="100" w:type="dxa"/>
              <w:left w:w="100" w:type="dxa"/>
              <w:bottom w:w="100" w:type="dxa"/>
              <w:right w:w="100" w:type="dxa"/>
            </w:tcMar>
          </w:tcPr>
          <w:p w14:paraId="4C934C93" w14:textId="77777777" w:rsidR="00012C61" w:rsidRDefault="00000000">
            <w:r>
              <w:t>0.9699</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0.5019</w:t>
            </w:r>
          </w:p>
        </w:tc>
        <w:tc>
          <w:tcPr>
            <w:tcW w:w="3000" w:type="dxa"/>
            <w:tcMar>
              <w:top w:w="100" w:type="dxa"/>
              <w:left w:w="100" w:type="dxa"/>
              <w:bottom w:w="100" w:type="dxa"/>
              <w:right w:w="100" w:type="dxa"/>
            </w:tcMar>
          </w:tcPr>
          <w:p w14:paraId="6706DC3E" w14:textId="77777777" w:rsidR="00012C61" w:rsidRDefault="00000000">
            <w:r>
              <w:t>0.6135</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0.4913</w:t>
            </w:r>
          </w:p>
        </w:tc>
        <w:tc>
          <w:tcPr>
            <w:tcW w:w="3000" w:type="dxa"/>
            <w:tcMar>
              <w:top w:w="100" w:type="dxa"/>
              <w:left w:w="100" w:type="dxa"/>
              <w:bottom w:w="100" w:type="dxa"/>
              <w:right w:w="100" w:type="dxa"/>
            </w:tcMar>
          </w:tcPr>
          <w:p w14:paraId="24884151" w14:textId="77777777" w:rsidR="00012C61" w:rsidRDefault="00000000">
            <w:r>
              <w:t>0.6033</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0.4830</w:t>
            </w:r>
          </w:p>
        </w:tc>
        <w:tc>
          <w:tcPr>
            <w:tcW w:w="3000" w:type="dxa"/>
            <w:tcMar>
              <w:top w:w="100" w:type="dxa"/>
              <w:left w:w="100" w:type="dxa"/>
              <w:bottom w:w="100" w:type="dxa"/>
              <w:right w:w="100" w:type="dxa"/>
            </w:tcMar>
          </w:tcPr>
          <w:p w14:paraId="6C771475" w14:textId="77777777" w:rsidR="00012C61" w:rsidRDefault="00000000">
            <w:r>
              <w:t>0.5961</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0.4730</w:t>
            </w:r>
          </w:p>
        </w:tc>
        <w:tc>
          <w:tcPr>
            <w:tcW w:w="3000" w:type="dxa"/>
            <w:tcMar>
              <w:top w:w="100" w:type="dxa"/>
              <w:left w:w="100" w:type="dxa"/>
              <w:bottom w:w="100" w:type="dxa"/>
              <w:right w:w="100" w:type="dxa"/>
            </w:tcMar>
          </w:tcPr>
          <w:p w14:paraId="201F8881" w14:textId="77777777" w:rsidR="00012C61" w:rsidRDefault="00000000">
            <w:r>
              <w:t>0.5958</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3EDC4E85" w:rsidR="00012C61" w:rsidRDefault="00000000">
      <w:pPr>
        <w:spacing w:after="150"/>
      </w:pPr>
      <w:r>
        <w:t xml:space="preserve">The training and validation loss both drop sharply in the first 50 epochs (0.91 → 0.50 train, 0.97 → 0.61 </w:t>
      </w:r>
      <w:proofErr w:type="spellStart"/>
      <w:r>
        <w:t>val</w:t>
      </w:r>
      <w:proofErr w:type="spellEnd"/>
      <w:r>
        <w:t xml:space="preserve">) and then </w:t>
      </w:r>
      <w:r w:rsidR="00F3416F">
        <w:t>flattened</w:t>
      </w:r>
      <w:r>
        <w:t xml:space="preserve"> out, with only marginal further improvement through epoch 200 (0.47 train, 0.60 </w:t>
      </w:r>
      <w:proofErr w:type="spellStart"/>
      <w:r>
        <w:t>val</w:t>
      </w:r>
      <w:proofErr w:type="spellEnd"/>
      <w:r>
        <w:t xml:space="preserve">). The two curves stay reasonably close together throughout (a gap of roughly 0.09–0.13), suggesting limited overfitting within this internal validation split — however, as shown in Section 8.5, this internal validation gap does not reflect true forecasting performance on the genuinely held-out last-5-timestep test window, where Model 1 in fact </w:t>
      </w:r>
      <w:r w:rsidR="00F3416F">
        <w:t>generalizes</w:t>
      </w:r>
      <w:r>
        <w:t xml:space="preserve"> best of the three models (Test R² = 0.31) despite having the weakest training fit (Train R² = 0.51).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w:t>
      </w:r>
      <w:proofErr w:type="spellStart"/>
      <w:r>
        <w:t>hidden_size</w:t>
      </w:r>
      <w:proofErr w:type="spellEnd"/>
      <w:r>
        <w:t xml:space="preserve"> was increased from 16 to 24 (</w:t>
      </w:r>
      <w:proofErr w:type="spellStart"/>
      <w:r>
        <w:t>num_layers</w:t>
      </w:r>
      <w:proofErr w:type="spellEnd"/>
      <w:r>
        <w:t xml:space="preserve">, dropout, </w:t>
      </w:r>
      <w:proofErr w:type="spellStart"/>
      <w:r>
        <w:t>num_features</w:t>
      </w:r>
      <w:proofErr w:type="spellEnd"/>
      <w:r>
        <w:t xml:space="preserve">, and </w:t>
      </w:r>
      <w:proofErr w:type="spellStart"/>
      <w:r>
        <w:t>output_size</w:t>
      </w:r>
      <w:proofErr w:type="spellEnd"/>
      <w:r>
        <w:t xml:space="preserve"> unchanged) to give the model additional representational capacity to process the doubled lookback window (10 timesteps of history instead of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0.5397 (</w:t>
            </w:r>
            <w:proofErr w:type="spellStart"/>
            <w:r>
              <w:t>standardised</w:t>
            </w:r>
            <w:proofErr w:type="spellEnd"/>
            <w:r>
              <w:t>)</w:t>
            </w:r>
          </w:p>
        </w:tc>
        <w:tc>
          <w:tcPr>
            <w:tcW w:w="3000" w:type="dxa"/>
            <w:tcMar>
              <w:top w:w="100" w:type="dxa"/>
              <w:left w:w="100" w:type="dxa"/>
              <w:bottom w:w="100" w:type="dxa"/>
              <w:right w:w="100" w:type="dxa"/>
            </w:tcMar>
          </w:tcPr>
          <w:p w14:paraId="2864A96E" w14:textId="77777777" w:rsidR="00012C61" w:rsidRDefault="00000000">
            <w:r>
              <w:t>394.58 (original units)</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0.7081</w:t>
            </w:r>
          </w:p>
        </w:tc>
        <w:tc>
          <w:tcPr>
            <w:tcW w:w="3000" w:type="dxa"/>
            <w:tcMar>
              <w:top w:w="100" w:type="dxa"/>
              <w:left w:w="100" w:type="dxa"/>
              <w:bottom w:w="100" w:type="dxa"/>
              <w:right w:w="100" w:type="dxa"/>
            </w:tcMar>
          </w:tcPr>
          <w:p w14:paraId="6DBCED3C" w14:textId="77777777" w:rsidR="00012C61" w:rsidRDefault="00000000">
            <w:r>
              <w:t>0.1131</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0.7763</w:t>
            </w:r>
          </w:p>
        </w:tc>
        <w:tc>
          <w:tcPr>
            <w:tcW w:w="3000" w:type="dxa"/>
            <w:tcMar>
              <w:top w:w="100" w:type="dxa"/>
              <w:left w:w="100" w:type="dxa"/>
              <w:bottom w:w="100" w:type="dxa"/>
              <w:right w:w="100" w:type="dxa"/>
            </w:tcMar>
          </w:tcPr>
          <w:p w14:paraId="70F94837" w14:textId="77777777" w:rsidR="00012C61" w:rsidRDefault="00000000">
            <w:r>
              <w:t>0.8535</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0.4725</w:t>
            </w:r>
          </w:p>
        </w:tc>
        <w:tc>
          <w:tcPr>
            <w:tcW w:w="3000" w:type="dxa"/>
            <w:tcMar>
              <w:top w:w="100" w:type="dxa"/>
              <w:left w:w="100" w:type="dxa"/>
              <w:bottom w:w="100" w:type="dxa"/>
              <w:right w:w="100" w:type="dxa"/>
            </w:tcMar>
          </w:tcPr>
          <w:p w14:paraId="184345E5" w14:textId="77777777" w:rsidR="00012C61" w:rsidRDefault="00000000">
            <w:r>
              <w:t>0.5390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0.4004</w:t>
            </w:r>
          </w:p>
        </w:tc>
        <w:tc>
          <w:tcPr>
            <w:tcW w:w="3000" w:type="dxa"/>
            <w:tcMar>
              <w:top w:w="100" w:type="dxa"/>
              <w:left w:w="100" w:type="dxa"/>
              <w:bottom w:w="100" w:type="dxa"/>
              <w:right w:w="100" w:type="dxa"/>
            </w:tcMar>
          </w:tcPr>
          <w:p w14:paraId="7D961840" w14:textId="77777777" w:rsidR="00012C61" w:rsidRDefault="00000000">
            <w:r>
              <w:t>0.5063</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0.3334</w:t>
            </w:r>
          </w:p>
        </w:tc>
        <w:tc>
          <w:tcPr>
            <w:tcW w:w="3000" w:type="dxa"/>
            <w:tcMar>
              <w:top w:w="100" w:type="dxa"/>
              <w:left w:w="100" w:type="dxa"/>
              <w:bottom w:w="100" w:type="dxa"/>
              <w:right w:w="100" w:type="dxa"/>
            </w:tcMar>
          </w:tcPr>
          <w:p w14:paraId="56C58248" w14:textId="77777777" w:rsidR="00012C61" w:rsidRDefault="00000000">
            <w:r>
              <w:t>0.4694</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0.3078</w:t>
            </w:r>
          </w:p>
        </w:tc>
        <w:tc>
          <w:tcPr>
            <w:tcW w:w="3000" w:type="dxa"/>
            <w:tcMar>
              <w:top w:w="100" w:type="dxa"/>
              <w:left w:w="100" w:type="dxa"/>
              <w:bottom w:w="100" w:type="dxa"/>
              <w:right w:w="100" w:type="dxa"/>
            </w:tcMar>
          </w:tcPr>
          <w:p w14:paraId="1EFA4219" w14:textId="77777777" w:rsidR="00012C61" w:rsidRDefault="00000000">
            <w:r>
              <w:t>0.4615</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 xml:space="preserve">Both loss curves continue decreasing steadily through all 200 logged epochs (train: 0.78 → 0.31; </w:t>
      </w:r>
      <w:proofErr w:type="spellStart"/>
      <w:r>
        <w:t>val</w:t>
      </w:r>
      <w:proofErr w:type="spellEnd"/>
      <w:r>
        <w:t>: 0.85 → 0.46) without fully plateauing, unlike Model 1. Train R² improved substantially over Model 1 (0.51 → 0.71), reflecting the larger hidden size and longer lookback giving the model more to fit — but Test R² dropped (0.31 → 0.11), an early sign of the overfitting trend explored fully in Section 8.5.1: more capacity and more training-window information improved the internal fit without improving genuine forecasting ability.</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proofErr w:type="spellStart"/>
      <w:r>
        <w:t>num_features</w:t>
      </w:r>
      <w:proofErr w:type="spellEnd"/>
      <w:r>
        <w:t xml:space="preserve"> was increased from 1 to the number of available climate columns (TSDM plus 15-day-average rainfall, max/min temperature, relative humidity at max/min temperature, evaporation, and radiation — 8 features in total when all are present in the data), requiring the LSTM's </w:t>
      </w:r>
      <w:proofErr w:type="spellStart"/>
      <w:r>
        <w:t>input_size</w:t>
      </w:r>
      <w:proofErr w:type="spellEnd"/>
      <w:r>
        <w:t xml:space="preserve"> to scale accordingly; </w:t>
      </w:r>
      <w:proofErr w:type="spellStart"/>
      <w:r>
        <w:t>hidden_size</w:t>
      </w:r>
      <w:proofErr w:type="spellEnd"/>
      <w:r>
        <w:t xml:space="preserve"> was further increased to 32 (from 24) to give the model enough capacity to combine information across all input channels; lookback was kept at 10 (as in Model 2) rather than a fixed short window, and the existing variable-length packing (</w:t>
      </w:r>
      <w:proofErr w:type="spellStart"/>
      <w:r>
        <w:t>pack_padded_sequence</w:t>
      </w:r>
      <w:proofErr w:type="spellEnd"/>
      <w:r>
        <w:t>) already supported flexible per-paddock sequence lengths without further changes.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0.2980 (</w:t>
            </w:r>
            <w:proofErr w:type="spellStart"/>
            <w:r>
              <w:t>standardised</w:t>
            </w:r>
            <w:proofErr w:type="spellEnd"/>
            <w:r>
              <w:t>)</w:t>
            </w:r>
          </w:p>
        </w:tc>
        <w:tc>
          <w:tcPr>
            <w:tcW w:w="3000" w:type="dxa"/>
            <w:tcMar>
              <w:top w:w="100" w:type="dxa"/>
              <w:left w:w="100" w:type="dxa"/>
              <w:bottom w:w="100" w:type="dxa"/>
              <w:right w:w="100" w:type="dxa"/>
            </w:tcMar>
          </w:tcPr>
          <w:p w14:paraId="35CE7C9B" w14:textId="77777777" w:rsidR="00012C61" w:rsidRDefault="00000000">
            <w:r>
              <w:t>404.74 (original units)</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0.9110</w:t>
            </w:r>
          </w:p>
        </w:tc>
        <w:tc>
          <w:tcPr>
            <w:tcW w:w="3000" w:type="dxa"/>
            <w:tcMar>
              <w:top w:w="100" w:type="dxa"/>
              <w:left w:w="100" w:type="dxa"/>
              <w:bottom w:w="100" w:type="dxa"/>
              <w:right w:w="100" w:type="dxa"/>
            </w:tcMar>
          </w:tcPr>
          <w:p w14:paraId="37AB209A" w14:textId="77777777" w:rsidR="00012C61" w:rsidRDefault="00000000">
            <w:r>
              <w:t>0.0668</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0.5010</w:t>
            </w:r>
          </w:p>
        </w:tc>
        <w:tc>
          <w:tcPr>
            <w:tcW w:w="3000" w:type="dxa"/>
            <w:tcMar>
              <w:top w:w="100" w:type="dxa"/>
              <w:left w:w="100" w:type="dxa"/>
              <w:bottom w:w="100" w:type="dxa"/>
              <w:right w:w="100" w:type="dxa"/>
            </w:tcMar>
          </w:tcPr>
          <w:p w14:paraId="0DB5FFC4" w14:textId="77777777" w:rsidR="00012C61" w:rsidRDefault="00000000">
            <w:r>
              <w:t>0.5224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0.1605</w:t>
            </w:r>
          </w:p>
        </w:tc>
        <w:tc>
          <w:tcPr>
            <w:tcW w:w="3000" w:type="dxa"/>
            <w:tcMar>
              <w:top w:w="100" w:type="dxa"/>
              <w:left w:w="100" w:type="dxa"/>
              <w:bottom w:w="100" w:type="dxa"/>
              <w:right w:w="100" w:type="dxa"/>
            </w:tcMar>
          </w:tcPr>
          <w:p w14:paraId="25D881AD" w14:textId="77777777" w:rsidR="00012C61" w:rsidRDefault="00000000">
            <w:r>
              <w:t>0.1819</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0.1203</w:t>
            </w:r>
          </w:p>
        </w:tc>
        <w:tc>
          <w:tcPr>
            <w:tcW w:w="3000" w:type="dxa"/>
            <w:tcMar>
              <w:top w:w="100" w:type="dxa"/>
              <w:left w:w="100" w:type="dxa"/>
              <w:bottom w:w="100" w:type="dxa"/>
              <w:right w:w="100" w:type="dxa"/>
            </w:tcMar>
          </w:tcPr>
          <w:p w14:paraId="3034FC16" w14:textId="77777777" w:rsidR="00012C61" w:rsidRDefault="00000000">
            <w:r>
              <w:t>0.1544</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0.1017</w:t>
            </w:r>
          </w:p>
        </w:tc>
        <w:tc>
          <w:tcPr>
            <w:tcW w:w="3000" w:type="dxa"/>
            <w:tcMar>
              <w:top w:w="100" w:type="dxa"/>
              <w:left w:w="100" w:type="dxa"/>
              <w:bottom w:w="100" w:type="dxa"/>
              <w:right w:w="100" w:type="dxa"/>
            </w:tcMar>
          </w:tcPr>
          <w:p w14:paraId="0B4ED930" w14:textId="77777777" w:rsidR="00012C61" w:rsidRDefault="00000000">
            <w:r>
              <w:t>0.1427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0.0828</w:t>
            </w:r>
          </w:p>
        </w:tc>
        <w:tc>
          <w:tcPr>
            <w:tcW w:w="3000" w:type="dxa"/>
            <w:tcMar>
              <w:top w:w="100" w:type="dxa"/>
              <w:left w:w="100" w:type="dxa"/>
              <w:bottom w:w="100" w:type="dxa"/>
              <w:right w:w="100" w:type="dxa"/>
            </w:tcMar>
          </w:tcPr>
          <w:p w14:paraId="7679225D" w14:textId="77777777" w:rsidR="00012C61" w:rsidRDefault="00000000">
            <w:r>
              <w:t>0.1359</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train loss 0.083 vs. 0.47 for Model 1 and 0.31 for Model 2), and the curve is still gently decreasing at epoch 200 rather than fully flat, suggesting the model could fit the training data even further with more epochs. This model has by far the strongest Train R² (0.91) yet the weakest Test R² (0.07) of all three models — the clearest single indicator of overfitting in this study: the additional climate features and larger hidden size let the model fit the training sequences almost perfectly, but this fit does not transfer to the genuinely unseen forecasting task, as examined in detail in Section 8.5.</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0.7007</w:t>
            </w:r>
          </w:p>
        </w:tc>
        <w:tc>
          <w:tcPr>
            <w:tcW w:w="1600" w:type="dxa"/>
            <w:tcMar>
              <w:top w:w="100" w:type="dxa"/>
              <w:left w:w="100" w:type="dxa"/>
              <w:bottom w:w="100" w:type="dxa"/>
              <w:right w:w="100" w:type="dxa"/>
            </w:tcMar>
          </w:tcPr>
          <w:p w14:paraId="37786937" w14:textId="77777777" w:rsidR="00012C61" w:rsidRDefault="00000000">
            <w:r>
              <w:t>0.5081</w:t>
            </w:r>
          </w:p>
        </w:tc>
        <w:tc>
          <w:tcPr>
            <w:tcW w:w="1600" w:type="dxa"/>
            <w:tcMar>
              <w:top w:w="100" w:type="dxa"/>
              <w:left w:w="100" w:type="dxa"/>
              <w:bottom w:w="100" w:type="dxa"/>
              <w:right w:w="100" w:type="dxa"/>
            </w:tcMar>
          </w:tcPr>
          <w:p w14:paraId="21694789" w14:textId="77777777" w:rsidR="00012C61" w:rsidRDefault="00000000">
            <w:r>
              <w:t>346.88</w:t>
            </w:r>
          </w:p>
        </w:tc>
        <w:tc>
          <w:tcPr>
            <w:tcW w:w="1600" w:type="dxa"/>
            <w:tcMar>
              <w:top w:w="100" w:type="dxa"/>
              <w:left w:w="100" w:type="dxa"/>
              <w:bottom w:w="100" w:type="dxa"/>
              <w:right w:w="100" w:type="dxa"/>
            </w:tcMar>
          </w:tcPr>
          <w:p w14:paraId="5EEA2377" w14:textId="77777777" w:rsidR="00012C61" w:rsidRDefault="00000000">
            <w:r>
              <w:t>0.3146</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0.5397</w:t>
            </w:r>
          </w:p>
        </w:tc>
        <w:tc>
          <w:tcPr>
            <w:tcW w:w="1600" w:type="dxa"/>
            <w:tcMar>
              <w:top w:w="100" w:type="dxa"/>
              <w:left w:w="100" w:type="dxa"/>
              <w:bottom w:w="100" w:type="dxa"/>
              <w:right w:w="100" w:type="dxa"/>
            </w:tcMar>
          </w:tcPr>
          <w:p w14:paraId="2E4EDB0B" w14:textId="77777777" w:rsidR="00012C61" w:rsidRDefault="00000000">
            <w:r>
              <w:t>0.7081</w:t>
            </w:r>
          </w:p>
        </w:tc>
        <w:tc>
          <w:tcPr>
            <w:tcW w:w="1600" w:type="dxa"/>
            <w:tcMar>
              <w:top w:w="100" w:type="dxa"/>
              <w:left w:w="100" w:type="dxa"/>
              <w:bottom w:w="100" w:type="dxa"/>
              <w:right w:w="100" w:type="dxa"/>
            </w:tcMar>
          </w:tcPr>
          <w:p w14:paraId="2235EED8" w14:textId="77777777" w:rsidR="00012C61" w:rsidRDefault="00000000">
            <w:r>
              <w:t>394.58</w:t>
            </w:r>
          </w:p>
        </w:tc>
        <w:tc>
          <w:tcPr>
            <w:tcW w:w="1600" w:type="dxa"/>
            <w:tcMar>
              <w:top w:w="100" w:type="dxa"/>
              <w:left w:w="100" w:type="dxa"/>
              <w:bottom w:w="100" w:type="dxa"/>
              <w:right w:w="100" w:type="dxa"/>
            </w:tcMar>
          </w:tcPr>
          <w:p w14:paraId="0A1890A4" w14:textId="77777777" w:rsidR="00012C61" w:rsidRDefault="00000000">
            <w:r>
              <w:t>0.1131</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0.2980</w:t>
            </w:r>
          </w:p>
        </w:tc>
        <w:tc>
          <w:tcPr>
            <w:tcW w:w="1600" w:type="dxa"/>
            <w:tcMar>
              <w:top w:w="100" w:type="dxa"/>
              <w:left w:w="100" w:type="dxa"/>
              <w:bottom w:w="100" w:type="dxa"/>
              <w:right w:w="100" w:type="dxa"/>
            </w:tcMar>
          </w:tcPr>
          <w:p w14:paraId="65322004" w14:textId="77777777" w:rsidR="00012C61" w:rsidRDefault="00000000">
            <w:r>
              <w:t>0.9110</w:t>
            </w:r>
          </w:p>
        </w:tc>
        <w:tc>
          <w:tcPr>
            <w:tcW w:w="1600" w:type="dxa"/>
            <w:tcMar>
              <w:top w:w="100" w:type="dxa"/>
              <w:left w:w="100" w:type="dxa"/>
              <w:bottom w:w="100" w:type="dxa"/>
              <w:right w:w="100" w:type="dxa"/>
            </w:tcMar>
          </w:tcPr>
          <w:p w14:paraId="4F0322F4" w14:textId="77777777" w:rsidR="00012C61" w:rsidRDefault="00000000">
            <w:r>
              <w:t>404.74</w:t>
            </w:r>
          </w:p>
        </w:tc>
        <w:tc>
          <w:tcPr>
            <w:tcW w:w="1600" w:type="dxa"/>
            <w:tcMar>
              <w:top w:w="100" w:type="dxa"/>
              <w:left w:w="100" w:type="dxa"/>
              <w:bottom w:w="100" w:type="dxa"/>
              <w:right w:w="100" w:type="dxa"/>
            </w:tcMar>
          </w:tcPr>
          <w:p w14:paraId="4660BAE4" w14:textId="77777777" w:rsidR="00012C61" w:rsidRDefault="00000000">
            <w:r>
              <w:t>0.0668</w:t>
            </w:r>
          </w:p>
        </w:tc>
      </w:tr>
    </w:tbl>
    <w:p w14:paraId="646DAE71" w14:textId="77777777" w:rsidR="00012C61" w:rsidRDefault="00012C61">
      <w:pPr>
        <w:spacing w:after="100"/>
      </w:pPr>
    </w:p>
    <w:p w14:paraId="5ECA100C" w14:textId="215CEB87" w:rsidR="00012C61" w:rsidRDefault="00000000">
      <w:pPr>
        <w:spacing w:after="150"/>
      </w:pPr>
      <w:r>
        <w:t xml:space="preserve">Note: Train RMSE is reported in </w:t>
      </w:r>
      <w:r w:rsidR="00F3416F">
        <w:t>standardized</w:t>
      </w:r>
      <w:r>
        <w:t xml:space="preserve"> units (as used directly in the training loss); Test RMSE is reported in original TSDM units after inverse-transforming predictions with each paddock's own scaler, so the two RMSE columns are not directly comparable in scale — R² (a </w:t>
      </w:r>
      <w:r w:rsidR="00F3416F">
        <w:t>normalized</w:t>
      </w:r>
      <w:r>
        <w:t>, scale-free metric) is the more reliable basis for comparing train vs. test performance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clear and consistent pattern emerges across the three models: as model complexity increases (longer lookback, then additional climate features), training performance steadily improves — Train R² rises from 0.51 to 0.71 to 0.91 — while test performance on the genuinely held-out last-5-timestep window steadily worsens — Test R² falls from 0.31 to 0.11 to 0.07, and Test RMSE increases from 347 to 395 to 405. This divergence is a textbook signature of overfitting: the more expressive multivariate model fits the training sequences almost perfectly, but this fit does not transfer to forecasting genuinely unseen future timesteps.</w:t>
      </w:r>
    </w:p>
    <w:p w14:paraId="652BCA56" w14:textId="7B4EA86E" w:rsidR="00012C61" w:rsidRDefault="00000000">
      <w:pPr>
        <w:spacing w:after="150"/>
      </w:pPr>
      <w:r>
        <w:t xml:space="preserve">This matters because it means the notebook's initial impression — that adding climate features and a longer lookback substantially improves the model — only holds when judged against the internal 80/20 validation split carved out of the training data. That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tells the opposite </w:t>
      </w:r>
      <w:r w:rsidR="00F3416F">
        <w:t>story and</w:t>
      </w:r>
      <w:r>
        <w:t xml:space="preserve"> is the metric that actually matters for </w:t>
      </w:r>
      <w:proofErr w:type="spellStart"/>
      <w:r>
        <w:t>AgriWebb's</w:t>
      </w:r>
      <w:proofErr w:type="spellEnd"/>
      <w:r>
        <w:t xml:space="preserve">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EBDE0D5" w14:textId="77777777">
        <w:trPr>
          <w:tblHeader/>
        </w:trPr>
        <w:tc>
          <w:tcPr>
            <w:tcW w:w="3000" w:type="dxa"/>
            <w:shd w:val="clear" w:color="auto" w:fill="DDEBF7"/>
            <w:tcMar>
              <w:top w:w="100" w:type="dxa"/>
              <w:left w:w="100" w:type="dxa"/>
              <w:bottom w:w="100" w:type="dxa"/>
              <w:right w:w="100" w:type="dxa"/>
            </w:tcMar>
          </w:tcPr>
          <w:p w14:paraId="11302181" w14:textId="77777777" w:rsidR="00012C61" w:rsidRDefault="00000000">
            <w:r>
              <w:rPr>
                <w:b/>
                <w:bCs/>
              </w:rPr>
              <w:t>Paddock (truncated ID)</w:t>
            </w:r>
          </w:p>
        </w:tc>
        <w:tc>
          <w:tcPr>
            <w:tcW w:w="3000" w:type="dxa"/>
            <w:shd w:val="clear" w:color="auto" w:fill="DDEBF7"/>
            <w:tcMar>
              <w:top w:w="100" w:type="dxa"/>
              <w:left w:w="100" w:type="dxa"/>
              <w:bottom w:w="100" w:type="dxa"/>
              <w:right w:w="100" w:type="dxa"/>
            </w:tcMar>
          </w:tcPr>
          <w:p w14:paraId="7E820184" w14:textId="77777777" w:rsidR="00012C61" w:rsidRDefault="00000000">
            <w:r>
              <w:rPr>
                <w:b/>
                <w:bCs/>
              </w:rPr>
              <w:t>Train Std (TSDM)</w:t>
            </w:r>
          </w:p>
        </w:tc>
        <w:tc>
          <w:tcPr>
            <w:tcW w:w="3000" w:type="dxa"/>
            <w:shd w:val="clear" w:color="auto" w:fill="DDEBF7"/>
            <w:tcMar>
              <w:top w:w="100" w:type="dxa"/>
              <w:left w:w="100" w:type="dxa"/>
              <w:bottom w:w="100" w:type="dxa"/>
              <w:right w:w="100" w:type="dxa"/>
            </w:tcMar>
          </w:tcPr>
          <w:p w14:paraId="5C8112DF" w14:textId="77777777" w:rsidR="00012C61" w:rsidRDefault="00000000">
            <w:r>
              <w:rPr>
                <w:b/>
                <w:bCs/>
              </w:rPr>
              <w:t>Test RMSE (Multivariate)</w:t>
            </w:r>
          </w:p>
        </w:tc>
      </w:tr>
      <w:tr w:rsidR="00012C61" w14:paraId="468DCD3C" w14:textId="77777777">
        <w:tc>
          <w:tcPr>
            <w:tcW w:w="3000" w:type="dxa"/>
            <w:tcMar>
              <w:top w:w="100" w:type="dxa"/>
              <w:left w:w="100" w:type="dxa"/>
              <w:bottom w:w="100" w:type="dxa"/>
              <w:right w:w="100" w:type="dxa"/>
            </w:tcMar>
          </w:tcPr>
          <w:p w14:paraId="356733D4" w14:textId="77777777" w:rsidR="00012C61" w:rsidRDefault="00000000">
            <w:r>
              <w:t>deb009be…</w:t>
            </w:r>
          </w:p>
        </w:tc>
        <w:tc>
          <w:tcPr>
            <w:tcW w:w="3000" w:type="dxa"/>
            <w:tcMar>
              <w:top w:w="100" w:type="dxa"/>
              <w:left w:w="100" w:type="dxa"/>
              <w:bottom w:w="100" w:type="dxa"/>
              <w:right w:w="100" w:type="dxa"/>
            </w:tcMar>
          </w:tcPr>
          <w:p w14:paraId="533C2DCC" w14:textId="77777777" w:rsidR="00012C61" w:rsidRDefault="00000000">
            <w:r>
              <w:t>287.0</w:t>
            </w:r>
          </w:p>
        </w:tc>
        <w:tc>
          <w:tcPr>
            <w:tcW w:w="3000" w:type="dxa"/>
            <w:tcMar>
              <w:top w:w="100" w:type="dxa"/>
              <w:left w:w="100" w:type="dxa"/>
              <w:bottom w:w="100" w:type="dxa"/>
              <w:right w:w="100" w:type="dxa"/>
            </w:tcMar>
          </w:tcPr>
          <w:p w14:paraId="46B5C686" w14:textId="77777777" w:rsidR="00012C61" w:rsidRDefault="00000000">
            <w:r>
              <w:t>75.4</w:t>
            </w:r>
          </w:p>
        </w:tc>
      </w:tr>
      <w:tr w:rsidR="00012C61" w14:paraId="50D33B01" w14:textId="77777777">
        <w:tc>
          <w:tcPr>
            <w:tcW w:w="3000" w:type="dxa"/>
            <w:tcMar>
              <w:top w:w="100" w:type="dxa"/>
              <w:left w:w="100" w:type="dxa"/>
              <w:bottom w:w="100" w:type="dxa"/>
              <w:right w:w="100" w:type="dxa"/>
            </w:tcMar>
          </w:tcPr>
          <w:p w14:paraId="4907465F" w14:textId="77777777" w:rsidR="00012C61" w:rsidRDefault="00000000">
            <w:r>
              <w:t>e59f403d…</w:t>
            </w:r>
          </w:p>
        </w:tc>
        <w:tc>
          <w:tcPr>
            <w:tcW w:w="3000" w:type="dxa"/>
            <w:tcMar>
              <w:top w:w="100" w:type="dxa"/>
              <w:left w:w="100" w:type="dxa"/>
              <w:bottom w:w="100" w:type="dxa"/>
              <w:right w:w="100" w:type="dxa"/>
            </w:tcMar>
          </w:tcPr>
          <w:p w14:paraId="3723809B" w14:textId="77777777" w:rsidR="00012C61" w:rsidRDefault="00000000">
            <w:r>
              <w:t>297.3</w:t>
            </w:r>
          </w:p>
        </w:tc>
        <w:tc>
          <w:tcPr>
            <w:tcW w:w="3000" w:type="dxa"/>
            <w:tcMar>
              <w:top w:w="100" w:type="dxa"/>
              <w:left w:w="100" w:type="dxa"/>
              <w:bottom w:w="100" w:type="dxa"/>
              <w:right w:w="100" w:type="dxa"/>
            </w:tcMar>
          </w:tcPr>
          <w:p w14:paraId="680988D5" w14:textId="77777777" w:rsidR="00012C61" w:rsidRDefault="00000000">
            <w:r>
              <w:t>149.1</w:t>
            </w:r>
          </w:p>
        </w:tc>
      </w:tr>
      <w:tr w:rsidR="00012C61" w14:paraId="5A888D4F" w14:textId="77777777">
        <w:tc>
          <w:tcPr>
            <w:tcW w:w="3000" w:type="dxa"/>
            <w:tcMar>
              <w:top w:w="100" w:type="dxa"/>
              <w:left w:w="100" w:type="dxa"/>
              <w:bottom w:w="100" w:type="dxa"/>
              <w:right w:w="100" w:type="dxa"/>
            </w:tcMar>
          </w:tcPr>
          <w:p w14:paraId="528B7738" w14:textId="77777777" w:rsidR="00012C61" w:rsidRDefault="00000000">
            <w:r>
              <w:t>ec69095b…</w:t>
            </w:r>
          </w:p>
        </w:tc>
        <w:tc>
          <w:tcPr>
            <w:tcW w:w="3000" w:type="dxa"/>
            <w:tcMar>
              <w:top w:w="100" w:type="dxa"/>
              <w:left w:w="100" w:type="dxa"/>
              <w:bottom w:w="100" w:type="dxa"/>
              <w:right w:w="100" w:type="dxa"/>
            </w:tcMar>
          </w:tcPr>
          <w:p w14:paraId="4B6981B9" w14:textId="77777777" w:rsidR="00012C61" w:rsidRDefault="00000000">
            <w:r>
              <w:t>315.2</w:t>
            </w:r>
          </w:p>
        </w:tc>
        <w:tc>
          <w:tcPr>
            <w:tcW w:w="3000" w:type="dxa"/>
            <w:tcMar>
              <w:top w:w="100" w:type="dxa"/>
              <w:left w:w="100" w:type="dxa"/>
              <w:bottom w:w="100" w:type="dxa"/>
              <w:right w:w="100" w:type="dxa"/>
            </w:tcMar>
          </w:tcPr>
          <w:p w14:paraId="29A28301" w14:textId="77777777" w:rsidR="00012C61" w:rsidRDefault="00000000">
            <w:r>
              <w:t>158.6</w:t>
            </w:r>
          </w:p>
        </w:tc>
      </w:tr>
      <w:tr w:rsidR="00012C61" w14:paraId="743E9F71" w14:textId="77777777">
        <w:tc>
          <w:tcPr>
            <w:tcW w:w="3000" w:type="dxa"/>
            <w:tcMar>
              <w:top w:w="100" w:type="dxa"/>
              <w:left w:w="100" w:type="dxa"/>
              <w:bottom w:w="100" w:type="dxa"/>
              <w:right w:w="100" w:type="dxa"/>
            </w:tcMar>
          </w:tcPr>
          <w:p w14:paraId="43A208A2" w14:textId="77777777" w:rsidR="00012C61" w:rsidRDefault="00000000">
            <w:r>
              <w:t>8191f028…</w:t>
            </w:r>
          </w:p>
        </w:tc>
        <w:tc>
          <w:tcPr>
            <w:tcW w:w="3000" w:type="dxa"/>
            <w:tcMar>
              <w:top w:w="100" w:type="dxa"/>
              <w:left w:w="100" w:type="dxa"/>
              <w:bottom w:w="100" w:type="dxa"/>
              <w:right w:w="100" w:type="dxa"/>
            </w:tcMar>
          </w:tcPr>
          <w:p w14:paraId="3A320F23" w14:textId="77777777" w:rsidR="00012C61" w:rsidRDefault="00000000">
            <w:r>
              <w:t>641.5</w:t>
            </w:r>
          </w:p>
        </w:tc>
        <w:tc>
          <w:tcPr>
            <w:tcW w:w="3000" w:type="dxa"/>
            <w:tcMar>
              <w:top w:w="100" w:type="dxa"/>
              <w:left w:w="100" w:type="dxa"/>
              <w:bottom w:w="100" w:type="dxa"/>
              <w:right w:w="100" w:type="dxa"/>
            </w:tcMar>
          </w:tcPr>
          <w:p w14:paraId="2D7B74DA" w14:textId="77777777" w:rsidR="00012C61" w:rsidRDefault="00000000">
            <w:r>
              <w:t>203.6</w:t>
            </w:r>
          </w:p>
        </w:tc>
      </w:tr>
      <w:tr w:rsidR="00012C61" w14:paraId="47401298" w14:textId="77777777">
        <w:tc>
          <w:tcPr>
            <w:tcW w:w="3000" w:type="dxa"/>
            <w:tcMar>
              <w:top w:w="100" w:type="dxa"/>
              <w:left w:w="100" w:type="dxa"/>
              <w:bottom w:w="100" w:type="dxa"/>
              <w:right w:w="100" w:type="dxa"/>
            </w:tcMar>
          </w:tcPr>
          <w:p w14:paraId="2177A07F" w14:textId="77777777" w:rsidR="00012C61" w:rsidRDefault="00000000">
            <w:r>
              <w:t>…</w:t>
            </w:r>
          </w:p>
        </w:tc>
        <w:tc>
          <w:tcPr>
            <w:tcW w:w="3000" w:type="dxa"/>
            <w:tcMar>
              <w:top w:w="100" w:type="dxa"/>
              <w:left w:w="100" w:type="dxa"/>
              <w:bottom w:w="100" w:type="dxa"/>
              <w:right w:w="100" w:type="dxa"/>
            </w:tcMar>
          </w:tcPr>
          <w:p w14:paraId="0554F817" w14:textId="77777777" w:rsidR="00012C61" w:rsidRDefault="00000000">
            <w:r>
              <w:t>…</w:t>
            </w:r>
          </w:p>
        </w:tc>
        <w:tc>
          <w:tcPr>
            <w:tcW w:w="3000" w:type="dxa"/>
            <w:tcMar>
              <w:top w:w="100" w:type="dxa"/>
              <w:left w:w="100" w:type="dxa"/>
              <w:bottom w:w="100" w:type="dxa"/>
              <w:right w:w="100" w:type="dxa"/>
            </w:tcMar>
          </w:tcPr>
          <w:p w14:paraId="27BE3691" w14:textId="77777777" w:rsidR="00012C61" w:rsidRDefault="00000000">
            <w:r>
              <w:t>…</w:t>
            </w:r>
          </w:p>
        </w:tc>
      </w:tr>
      <w:tr w:rsidR="00012C61" w14:paraId="0AEA5310" w14:textId="77777777">
        <w:tc>
          <w:tcPr>
            <w:tcW w:w="3000" w:type="dxa"/>
            <w:tcMar>
              <w:top w:w="100" w:type="dxa"/>
              <w:left w:w="100" w:type="dxa"/>
              <w:bottom w:w="100" w:type="dxa"/>
              <w:right w:w="100" w:type="dxa"/>
            </w:tcMar>
          </w:tcPr>
          <w:p w14:paraId="00163AB9" w14:textId="77777777" w:rsidR="00012C61" w:rsidRDefault="00000000">
            <w:r>
              <w:t>a649402b…</w:t>
            </w:r>
          </w:p>
        </w:tc>
        <w:tc>
          <w:tcPr>
            <w:tcW w:w="3000" w:type="dxa"/>
            <w:tcMar>
              <w:top w:w="100" w:type="dxa"/>
              <w:left w:w="100" w:type="dxa"/>
              <w:bottom w:w="100" w:type="dxa"/>
              <w:right w:w="100" w:type="dxa"/>
            </w:tcMar>
          </w:tcPr>
          <w:p w14:paraId="6FD77517" w14:textId="77777777" w:rsidR="00012C61" w:rsidRDefault="00000000">
            <w:r>
              <w:t>455.8</w:t>
            </w:r>
          </w:p>
        </w:tc>
        <w:tc>
          <w:tcPr>
            <w:tcW w:w="3000" w:type="dxa"/>
            <w:tcMar>
              <w:top w:w="100" w:type="dxa"/>
              <w:left w:w="100" w:type="dxa"/>
              <w:bottom w:w="100" w:type="dxa"/>
              <w:right w:w="100" w:type="dxa"/>
            </w:tcMar>
          </w:tcPr>
          <w:p w14:paraId="37B3E1CD" w14:textId="77777777" w:rsidR="00012C61" w:rsidRDefault="00000000">
            <w:r>
              <w:t>462.0</w:t>
            </w:r>
          </w:p>
        </w:tc>
      </w:tr>
      <w:tr w:rsidR="00012C61" w14:paraId="2CF24F76" w14:textId="77777777">
        <w:tc>
          <w:tcPr>
            <w:tcW w:w="3000" w:type="dxa"/>
            <w:tcMar>
              <w:top w:w="100" w:type="dxa"/>
              <w:left w:w="100" w:type="dxa"/>
              <w:bottom w:w="100" w:type="dxa"/>
              <w:right w:w="100" w:type="dxa"/>
            </w:tcMar>
          </w:tcPr>
          <w:p w14:paraId="5A813B44" w14:textId="77777777" w:rsidR="00012C61" w:rsidRDefault="00000000">
            <w:r>
              <w:t>cabef0e8…</w:t>
            </w:r>
          </w:p>
        </w:tc>
        <w:tc>
          <w:tcPr>
            <w:tcW w:w="3000" w:type="dxa"/>
            <w:tcMar>
              <w:top w:w="100" w:type="dxa"/>
              <w:left w:w="100" w:type="dxa"/>
              <w:bottom w:w="100" w:type="dxa"/>
              <w:right w:w="100" w:type="dxa"/>
            </w:tcMar>
          </w:tcPr>
          <w:p w14:paraId="2ACB9139" w14:textId="77777777" w:rsidR="00012C61" w:rsidRDefault="00000000">
            <w:r>
              <w:t>378.8</w:t>
            </w:r>
          </w:p>
        </w:tc>
        <w:tc>
          <w:tcPr>
            <w:tcW w:w="3000" w:type="dxa"/>
            <w:tcMar>
              <w:top w:w="100" w:type="dxa"/>
              <w:left w:w="100" w:type="dxa"/>
              <w:bottom w:w="100" w:type="dxa"/>
              <w:right w:w="100" w:type="dxa"/>
            </w:tcMar>
          </w:tcPr>
          <w:p w14:paraId="5E8EF24D" w14:textId="77777777" w:rsidR="00012C61" w:rsidRDefault="00000000">
            <w:r>
              <w:t>468.2</w:t>
            </w:r>
          </w:p>
        </w:tc>
      </w:tr>
      <w:tr w:rsidR="00012C61" w14:paraId="034707A2" w14:textId="77777777">
        <w:tc>
          <w:tcPr>
            <w:tcW w:w="3000" w:type="dxa"/>
            <w:tcMar>
              <w:top w:w="100" w:type="dxa"/>
              <w:left w:w="100" w:type="dxa"/>
              <w:bottom w:w="100" w:type="dxa"/>
              <w:right w:w="100" w:type="dxa"/>
            </w:tcMar>
          </w:tcPr>
          <w:p w14:paraId="66DF3363" w14:textId="77777777" w:rsidR="00012C61" w:rsidRDefault="00000000">
            <w:r>
              <w:t>ad87a9f8…</w:t>
            </w:r>
          </w:p>
        </w:tc>
        <w:tc>
          <w:tcPr>
            <w:tcW w:w="3000" w:type="dxa"/>
            <w:tcMar>
              <w:top w:w="100" w:type="dxa"/>
              <w:left w:w="100" w:type="dxa"/>
              <w:bottom w:w="100" w:type="dxa"/>
              <w:right w:w="100" w:type="dxa"/>
            </w:tcMar>
          </w:tcPr>
          <w:p w14:paraId="1BC34EC9" w14:textId="77777777" w:rsidR="00012C61" w:rsidRDefault="00000000">
            <w:r>
              <w:t>480.0</w:t>
            </w:r>
          </w:p>
        </w:tc>
        <w:tc>
          <w:tcPr>
            <w:tcW w:w="3000" w:type="dxa"/>
            <w:tcMar>
              <w:top w:w="100" w:type="dxa"/>
              <w:left w:w="100" w:type="dxa"/>
              <w:bottom w:w="100" w:type="dxa"/>
              <w:right w:w="100" w:type="dxa"/>
            </w:tcMar>
          </w:tcPr>
          <w:p w14:paraId="2EB22520" w14:textId="77777777" w:rsidR="00012C61" w:rsidRDefault="00000000">
            <w:r>
              <w:t>687.0</w:t>
            </w:r>
          </w:p>
        </w:tc>
      </w:tr>
      <w:tr w:rsidR="00012C61" w14:paraId="7CD36C15" w14:textId="77777777">
        <w:tc>
          <w:tcPr>
            <w:tcW w:w="3000" w:type="dxa"/>
            <w:tcMar>
              <w:top w:w="100" w:type="dxa"/>
              <w:left w:w="100" w:type="dxa"/>
              <w:bottom w:w="100" w:type="dxa"/>
              <w:right w:w="100" w:type="dxa"/>
            </w:tcMar>
          </w:tcPr>
          <w:p w14:paraId="56FC7E82" w14:textId="77777777" w:rsidR="00012C61" w:rsidRDefault="00000000">
            <w:r>
              <w:t>5c4c28a9…</w:t>
            </w:r>
          </w:p>
        </w:tc>
        <w:tc>
          <w:tcPr>
            <w:tcW w:w="3000" w:type="dxa"/>
            <w:tcMar>
              <w:top w:w="100" w:type="dxa"/>
              <w:left w:w="100" w:type="dxa"/>
              <w:bottom w:w="100" w:type="dxa"/>
              <w:right w:w="100" w:type="dxa"/>
            </w:tcMar>
          </w:tcPr>
          <w:p w14:paraId="2F8E24F6" w14:textId="77777777" w:rsidR="00012C61" w:rsidRDefault="00000000">
            <w:r>
              <w:t>759.8</w:t>
            </w:r>
          </w:p>
        </w:tc>
        <w:tc>
          <w:tcPr>
            <w:tcW w:w="3000" w:type="dxa"/>
            <w:tcMar>
              <w:top w:w="100" w:type="dxa"/>
              <w:left w:w="100" w:type="dxa"/>
              <w:bottom w:w="100" w:type="dxa"/>
              <w:right w:w="100" w:type="dxa"/>
            </w:tcMar>
          </w:tcPr>
          <w:p w14:paraId="7B2CB2C7" w14:textId="77777777" w:rsidR="00012C61" w:rsidRDefault="00000000">
            <w:r>
              <w:t>746.2</w:t>
            </w:r>
          </w:p>
        </w:tc>
      </w:tr>
      <w:tr w:rsidR="00012C61" w14:paraId="1A223778" w14:textId="77777777">
        <w:tc>
          <w:tcPr>
            <w:tcW w:w="3000" w:type="dxa"/>
            <w:tcMar>
              <w:top w:w="100" w:type="dxa"/>
              <w:left w:w="100" w:type="dxa"/>
              <w:bottom w:w="100" w:type="dxa"/>
              <w:right w:w="100" w:type="dxa"/>
            </w:tcMar>
          </w:tcPr>
          <w:p w14:paraId="55E66221" w14:textId="77777777" w:rsidR="00012C61" w:rsidRDefault="00000000">
            <w:r>
              <w:t>d54f90a4…</w:t>
            </w:r>
          </w:p>
        </w:tc>
        <w:tc>
          <w:tcPr>
            <w:tcW w:w="3000" w:type="dxa"/>
            <w:tcMar>
              <w:top w:w="100" w:type="dxa"/>
              <w:left w:w="100" w:type="dxa"/>
              <w:bottom w:w="100" w:type="dxa"/>
              <w:right w:w="100" w:type="dxa"/>
            </w:tcMar>
          </w:tcPr>
          <w:p w14:paraId="024F799D" w14:textId="77777777" w:rsidR="00012C61" w:rsidRDefault="00000000">
            <w:r>
              <w:t>968.9</w:t>
            </w:r>
          </w:p>
        </w:tc>
        <w:tc>
          <w:tcPr>
            <w:tcW w:w="3000" w:type="dxa"/>
            <w:tcMar>
              <w:top w:w="100" w:type="dxa"/>
              <w:left w:w="100" w:type="dxa"/>
              <w:bottom w:w="100" w:type="dxa"/>
              <w:right w:w="100" w:type="dxa"/>
            </w:tcMar>
          </w:tcPr>
          <w:p w14:paraId="3DF9258C" w14:textId="77777777" w:rsidR="00012C61" w:rsidRDefault="00000000">
            <w:r>
              <w:t>827.7</w:t>
            </w:r>
          </w:p>
        </w:tc>
      </w:tr>
    </w:tbl>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highly concentrated, not uniform: per-paddock test RMSE ranges from 75.4 (best) to 827.7 (worst), with a median of 299.6. The worst-performing paddocks (d54f90a4, 5c4c28a9, ad87a9f8) are consistently among those with the highest training-set variability (train std ≈ 480–969), while the best-performing paddocks (deb009be, e59f403d, ec69095b) have comparatively low training-set variability (train std ≈ 287–315).</w:t>
      </w:r>
    </w:p>
    <w:p w14:paraId="43EC8DC7" w14:textId="77777777" w:rsidR="00012C61" w:rsidRDefault="00000000">
      <w:pPr>
        <w:pStyle w:val="ListParagraph"/>
        <w:numPr>
          <w:ilvl w:val="0"/>
          <w:numId w:val="1"/>
        </w:numPr>
        <w:spacing w:after="80"/>
      </w:pPr>
      <w:r>
        <w:t>Systematic under-prediction on volatile paddocks: for the worst-performing paddocks, predicted means fall well below true means (e.g., paddock 5c4c28a9: true mean 1,486 vs. predicted mean 785; paddock ad87a9f8: true mean 1,552 vs. predicted mean 964), suggesting the shared LSTM regresses toward an average pattern and fails to extrapolate the sharper growth trajectories seen in more volatile paddocks.</w:t>
      </w:r>
    </w:p>
    <w:p w14:paraId="4069FC15" w14:textId="77777777" w:rsidR="00082F19" w:rsidRDefault="00000000">
      <w:pPr>
        <w:spacing w:after="150"/>
      </w:pPr>
      <w:r>
        <w:t>T</w:t>
      </w:r>
      <w:r w:rsidR="00082F19" w:rsidRPr="00082F19">
        <w:t xml:space="preserve"> In short, this isn't a bug in our code or how we measured the error. The real issue is that we are trying to force a single, highly complex model to predict the behavior of 19 very different paddocks—some stable, some highly volatile—using only about 189 data points each. Once we add multiple climate features into the mix, the model simply doesn't have enough diverse examples to learn how to generalize extreme fluctuations, causing it to fail on the most unpredictable paddocks.</w:t>
      </w:r>
      <w:r w:rsidR="00082F19">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06D3430D" w:rsidR="00012C61" w:rsidRDefault="00000000">
      <w:pPr>
        <w:spacing w:after="150"/>
      </w:pPr>
      <w:r>
        <w:t xml:space="preserve">For </w:t>
      </w:r>
      <w:proofErr w:type="spellStart"/>
      <w:r>
        <w:t>AgriWebb</w:t>
      </w:r>
      <w:proofErr w:type="spellEnd"/>
      <w:r>
        <w:t xml:space="preserve">, these results suggest the current multivariate model should not be deployed as-is for operational forecasting, despite its strong training fit: a Test R² of 0.07 means it explains almost none of the variance in genuinely future pasture </w:t>
      </w:r>
      <w:r w:rsidR="00F3416F">
        <w:t>growth and</w:t>
      </w:r>
      <w:r>
        <w:t xml:space="preserve"> would give decision-makers false confidence based on training-time metrics alone. The simpler univariate Model 1 (Lookback=5) is the most defensible of the three for practical use, since it shows the best (least poor) genuine forecasting performance (Test R² = 0.31) despite its simplicity — a useful reminder that model complexity should be validated against true held-out performance, not training fit, before being deployed. Practical next steps worth </w:t>
      </w:r>
      <w:r w:rsidR="00F3416F">
        <w:t>considering</w:t>
      </w:r>
      <w:r>
        <w:t xml:space="preserve"> per-paddock or per-cluster fine-tuning rather than one shared model across all 19 paddocks; gathering more historical timesteps per paddock before adding additional input features; and applying stronger </w:t>
      </w:r>
      <w:proofErr w:type="spellStart"/>
      <w:r>
        <w:t>regularisation</w:t>
      </w:r>
      <w:proofErr w:type="spellEnd"/>
      <w:r>
        <w:t xml:space="preserve"> (e.g., increased dropout, L2 weight decay) specifically for the multivariate model given its clear overfitting signature. Until such improvements are validated on genuine forecasting performance, model outputs should be treated as indicative at best for volatile paddocks (train std &gt; ~450), and used with more confidence only for paddocks with historically stable, low-variability growth patterns.</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w:t>
      </w:r>
      <w:proofErr w:type="spellStart"/>
      <w:r>
        <w:t>hydrogen_small</w:t>
      </w:r>
      <w:proofErr w:type="spellEnd"/>
      <w:r>
        <w:t xml:space="preserve"> 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 xml:space="preserve">Text cleaning: URLs, Twitter mentions (@handles), and non-ASCII characters were stripped via regular expressions, and consecutive whitespace was </w:t>
      </w:r>
      <w:r w:rsidR="00F3416F">
        <w:t>normalized</w:t>
      </w:r>
      <w:r>
        <w:t xml:space="preserve"> to single spaces. Raw tweets are noisy — links, handles, and stray symbols carry no topical signal and would otherwise be </w:t>
      </w:r>
      <w:proofErr w:type="spellStart"/>
      <w:r>
        <w:t>tokenised</w:t>
      </w:r>
      <w:proofErr w:type="spellEnd"/>
      <w:r>
        <w:t xml:space="preserve"> as meaningless sub-word units, diluting the input the model actually needs to attend to.</w:t>
      </w:r>
    </w:p>
    <w:p w14:paraId="7200DD79" w14:textId="77777777" w:rsidR="00012C61" w:rsidRDefault="00000000">
      <w:pPr>
        <w:pStyle w:val="ListParagraph"/>
        <w:numPr>
          <w:ilvl w:val="0"/>
          <w:numId w:val="1"/>
        </w:numPr>
        <w:spacing w:after="80"/>
      </w:pPr>
      <w:r>
        <w:t xml:space="preserve">Label encoding: labels were mapped to binary integers, Relevant = 1 and Irrelevant = 0, since </w:t>
      </w:r>
      <w:proofErr w:type="spellStart"/>
      <w:r>
        <w:t>AutoModelForSequenceClassification</w:t>
      </w:r>
      <w:proofErr w:type="spellEnd"/>
      <w:r>
        <w:t xml:space="preserve"> and Cross-Entropy Loss require integer class targets rather than string labels.</w:t>
      </w:r>
    </w:p>
    <w:p w14:paraId="263D64B8" w14:textId="77777777" w:rsidR="00012C61" w:rsidRDefault="00000000">
      <w:pPr>
        <w:pStyle w:val="ListParagraph"/>
        <w:numPr>
          <w:ilvl w:val="0"/>
          <w:numId w:val="1"/>
        </w:numPr>
        <w:spacing w:after="80"/>
      </w:pPr>
      <w:proofErr w:type="spellStart"/>
      <w:r>
        <w:t>Tokenisation</w:t>
      </w:r>
      <w:proofErr w:type="spellEnd"/>
      <w: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proofErr w:type="spellStart"/>
            <w:r>
              <w:t>bert</w:t>
            </w:r>
            <w:proofErr w:type="spellEnd"/>
            <w:r>
              <w:t>-base-uncased</w:t>
            </w:r>
          </w:p>
        </w:tc>
        <w:tc>
          <w:tcPr>
            <w:tcW w:w="6000" w:type="dxa"/>
            <w:tcMar>
              <w:top w:w="100" w:type="dxa"/>
              <w:left w:w="100" w:type="dxa"/>
              <w:bottom w:w="100" w:type="dxa"/>
              <w:right w:w="100" w:type="dxa"/>
            </w:tcMar>
          </w:tcPr>
          <w:p w14:paraId="5A5C4789" w14:textId="77777777" w:rsidR="00012C61" w:rsidRDefault="00000000">
            <w:r>
              <w:t xml:space="preserve">General-domain bidirectional transformer pre-trained on Wikipedia and </w:t>
            </w:r>
            <w:proofErr w:type="spellStart"/>
            <w:r>
              <w:t>BookCorpus</w:t>
            </w:r>
            <w:proofErr w:type="spellEnd"/>
            <w:r>
              <w:t>;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proofErr w:type="spellStart"/>
            <w:r>
              <w:t>vinai</w:t>
            </w:r>
            <w:proofErr w:type="spellEnd"/>
            <w:r>
              <w:t>/</w:t>
            </w:r>
            <w:proofErr w:type="spellStart"/>
            <w:r>
              <w:t>bertweet</w:t>
            </w:r>
            <w:proofErr w:type="spellEnd"/>
            <w:r>
              <w:t>-base</w:t>
            </w:r>
          </w:p>
        </w:tc>
        <w:tc>
          <w:tcPr>
            <w:tcW w:w="6000" w:type="dxa"/>
            <w:tcMar>
              <w:top w:w="100" w:type="dxa"/>
              <w:left w:w="100" w:type="dxa"/>
              <w:bottom w:w="100" w:type="dxa"/>
              <w:right w:w="100" w:type="dxa"/>
            </w:tcMar>
          </w:tcPr>
          <w:p w14:paraId="40800F9A" w14:textId="77777777" w:rsidR="00012C61" w:rsidRDefault="00000000">
            <w:proofErr w:type="spellStart"/>
            <w:r>
              <w:t>RoBERTa</w:t>
            </w:r>
            <w:proofErr w:type="spellEnd"/>
            <w:r>
              <w:t xml:space="preserve">-based model pre-trained on 850 million English tweets, specifically </w:t>
            </w:r>
            <w:proofErr w:type="spellStart"/>
            <w:r>
              <w:t>optimised</w:t>
            </w:r>
            <w:proofErr w:type="spellEnd"/>
            <w:r>
              <w:t xml:space="preserve">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w:t>
      </w:r>
      <w:proofErr w:type="spellStart"/>
      <w:r>
        <w:t>random_state</w:t>
      </w:r>
      <w:proofErr w:type="spellEnd"/>
      <w:r>
        <w:t>=42 — stratification preserves the 54.7%/45.3% class balance in both subsets.</w:t>
      </w:r>
    </w:p>
    <w:p w14:paraId="62EC65E6" w14:textId="77777777" w:rsidR="00012C61" w:rsidRDefault="00000000">
      <w:pPr>
        <w:pStyle w:val="ListParagraph"/>
        <w:numPr>
          <w:ilvl w:val="0"/>
          <w:numId w:val="1"/>
        </w:numPr>
        <w:spacing w:after="80"/>
      </w:pPr>
      <w:r>
        <w:t xml:space="preserve">Loss function: standard Cross-Entropy Loss via </w:t>
      </w:r>
      <w:proofErr w:type="spellStart"/>
      <w:r>
        <w:t>AutoModelForSequenceClassification</w:t>
      </w:r>
      <w:proofErr w:type="spellEnd"/>
      <w:r>
        <w:t xml:space="preserve">. This is the appropriate loss for binary classification because it is derived from negative log-likelihood and heavily </w:t>
      </w:r>
      <w:proofErr w:type="spellStart"/>
      <w:r>
        <w:t>penalises</w:t>
      </w:r>
      <w:proofErr w:type="spellEnd"/>
      <w:r>
        <w:t xml:space="preserve">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 xml:space="preserve">Hyperparameters: 3 epochs, batch size 16 (train) / 32 (eval), learning rate 2e-5 with the </w:t>
      </w:r>
      <w:proofErr w:type="spellStart"/>
      <w:r>
        <w:t>AdamW</w:t>
      </w:r>
      <w:proofErr w:type="spellEnd"/>
      <w:r>
        <w:t xml:space="preserve"> </w:t>
      </w:r>
      <w:proofErr w:type="spellStart"/>
      <w:r>
        <w:t>optimiser</w:t>
      </w:r>
      <w:proofErr w:type="spellEnd"/>
      <w:r>
        <w:t xml:space="preserve">, weight decay 0.01 for L2 </w:t>
      </w:r>
      <w:r w:rsidR="00F3416F">
        <w:t>regularization</w:t>
      </w:r>
      <w:r>
        <w:t>.</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proofErr w:type="spellStart"/>
            <w:r>
              <w:t>bert</w:t>
            </w:r>
            <w:proofErr w:type="spellEnd"/>
            <w:r>
              <w: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proofErr w:type="spellStart"/>
            <w:r>
              <w:t>vinai</w:t>
            </w:r>
            <w:proofErr w:type="spellEnd"/>
            <w:r>
              <w:t>/</w:t>
            </w:r>
            <w:proofErr w:type="spellStart"/>
            <w:r>
              <w:t>bertweet</w:t>
            </w:r>
            <w:proofErr w:type="spellEnd"/>
            <w:r>
              <w: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 xml:space="preserve">Note that </w:t>
      </w:r>
      <w:proofErr w:type="spellStart"/>
      <w:r>
        <w:t>bert</w:t>
      </w:r>
      <w:proofErr w:type="spellEnd"/>
      <w:r>
        <w:t xml:space="preserve">-base-uncased shows a larger train–test gap (97.14% → 91.67%) than </w:t>
      </w:r>
      <w:proofErr w:type="spellStart"/>
      <w:r>
        <w:t>bertweet</w:t>
      </w:r>
      <w:proofErr w:type="spellEnd"/>
      <w:r>
        <w:t xml:space="preserve">-base (94.43% → 93.33%), suggesting </w:t>
      </w:r>
      <w:proofErr w:type="spellStart"/>
      <w:r>
        <w:t>bertweet</w:t>
      </w:r>
      <w:proofErr w:type="spellEnd"/>
      <w:r>
        <w:t xml:space="preserve">-base </w:t>
      </w:r>
      <w:r w:rsidR="00F3416F">
        <w:t>generalizes</w:t>
      </w:r>
      <w:r>
        <w:t xml:space="preserve">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w:t>
      </w:r>
      <w:proofErr w:type="spellStart"/>
      <w:r>
        <w:t>vinai</w:t>
      </w:r>
      <w:proofErr w:type="spellEnd"/>
      <w:r>
        <w:t>/</w:t>
      </w:r>
      <w:proofErr w:type="spellStart"/>
      <w:r>
        <w:t>bertweet</w:t>
      </w:r>
      <w:proofErr w:type="spellEnd"/>
      <w:r>
        <w: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 xml:space="preserve">For the Relevant tweet, attention concentrates on "green", "hydrogen", "blue", and "fossil </w:t>
      </w:r>
      <w:r w:rsidR="00F3416F">
        <w:t>fuels”</w:t>
      </w:r>
      <w:r>
        <w:t xml:space="preserve"> energy-related modifiers surrounding the keyword "hydrogen" that together signal the clean-energy topic. For the Irrelevant tweet, attention shifts decisively to "responsive", "html", and "</w:t>
      </w:r>
      <w:r w:rsidR="00F3416F">
        <w:t>template”</w:t>
      </w:r>
      <w:r>
        <w:t xml:space="preserv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proofErr w:type="spellStart"/>
            <w:r>
              <w:t>bert</w:t>
            </w:r>
            <w:proofErr w:type="spellEnd"/>
            <w:r>
              <w: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proofErr w:type="spellStart"/>
            <w:r>
              <w:t>vinai</w:t>
            </w:r>
            <w:proofErr w:type="spellEnd"/>
            <w:r>
              <w:t>/</w:t>
            </w:r>
            <w:proofErr w:type="spellStart"/>
            <w:r>
              <w:t>bertweet</w:t>
            </w:r>
            <w:proofErr w:type="spellEnd"/>
            <w:r>
              <w: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 xml:space="preserve">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proofErr w:type="spellStart"/>
      <w:r>
        <w:t>BERTweet's</w:t>
      </w:r>
      <w:proofErr w:type="spellEnd"/>
      <w:r>
        <w:t xml:space="preserve"> further improvement over </w:t>
      </w:r>
      <w:proofErr w:type="spellStart"/>
      <w:r>
        <w:t>bert</w:t>
      </w:r>
      <w:proofErr w:type="spellEnd"/>
      <w:r>
        <w: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proofErr w:type="spellStart"/>
      <w:r>
        <w:t>SQuAD_tiny</w:t>
      </w:r>
      <w:proofErr w:type="spellEnd"/>
      <w:r>
        <w:t xml:space="preserve"> 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 xml:space="preserve">Tokenization: inputs were tokenized to a maximum length of 512 tokens (long enough to hold the </w:t>
      </w:r>
      <w:proofErr w:type="spellStart"/>
      <w:r>
        <w:t>SQuAD</w:t>
      </w:r>
      <w:proofErr w:type="spellEnd"/>
      <w:r>
        <w:t xml:space="preserve">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w:t>
      </w:r>
      <w:proofErr w:type="spellStart"/>
      <w:r>
        <w:t>SQuAD</w:t>
      </w:r>
      <w:proofErr w:type="spellEnd"/>
      <w:r>
        <w:t xml:space="preserve"> train indices 10,000–10,999), 100 validation examples (</w:t>
      </w:r>
      <w:proofErr w:type="spellStart"/>
      <w:r>
        <w:t>SQuAD</w:t>
      </w:r>
      <w:proofErr w:type="spellEnd"/>
      <w:r>
        <w:t xml:space="preserve"> validation indices 3,000–3,099), and 100 test examples (</w:t>
      </w:r>
      <w:proofErr w:type="spellStart"/>
      <w:r>
        <w:t>SQuAD</w:t>
      </w:r>
      <w:proofErr w:type="spellEnd"/>
      <w:r>
        <w:t xml:space="preserve"> validation indices 3,100–3,199), following the </w:t>
      </w:r>
      <w:proofErr w:type="spellStart"/>
      <w:r>
        <w:t>SQuAD_tiny</w:t>
      </w:r>
      <w:proofErr w:type="spellEnd"/>
      <w:r>
        <w:t xml:space="preserve"> 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w:t>
      </w:r>
      <w:proofErr w:type="spellStart"/>
      <w:r>
        <w:t>TrainingArguments</w:t>
      </w:r>
      <w:proofErr w:type="spellEnd"/>
      <w:r>
        <w:t xml:space="preserve">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w:t>
      </w:r>
      <w:r w:rsidR="00F3416F">
        <w:t>regularization</w:t>
      </w:r>
      <w:r>
        <w:t xml:space="preserve">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t>SQuAD</w:t>
      </w:r>
      <w:proofErr w:type="spellEnd"/>
      <w:r>
        <w:t xml:space="preserve">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 xml:space="preserve">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w:t>
      </w:r>
      <w:r w:rsidR="00F3416F">
        <w:t>differently worded</w:t>
      </w:r>
      <w:r>
        <w:t xml:space="preserve">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 xml:space="preserve">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w:t>
      </w:r>
      <w:r w:rsidR="00F3416F">
        <w:t>Nantes”</w:t>
      </w:r>
      <w:r>
        <w:t xml:space="preserve">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w:t>
      </w:r>
      <w:r w:rsidR="00F3416F">
        <w:t>memorized</w:t>
      </w:r>
      <w:r>
        <w:t xml:space="preserve"> </w:t>
      </w:r>
      <w:proofErr w:type="spellStart"/>
      <w:r>
        <w:t>SQuAD</w:t>
      </w:r>
      <w:proofErr w:type="spellEnd"/>
      <w:r>
        <w:t xml:space="preserve">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w:t>
      </w:r>
      <w:r w:rsidR="00F3416F">
        <w:t>knowledge but</w:t>
      </w:r>
      <w:r>
        <w:t xml:space="preserve"> is entirely sufficient to teach it the </w:t>
      </w:r>
      <w:proofErr w:type="spellStart"/>
      <w:r>
        <w:t>SQuAD</w:t>
      </w:r>
      <w:proofErr w:type="spellEnd"/>
      <w:r>
        <w:t xml:space="preserve">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Fine-tuned t5-small (</w:t>
            </w:r>
            <w:proofErr w:type="spellStart"/>
            <w:r>
              <w:t>SQuAD_tiny</w:t>
            </w:r>
            <w:proofErr w:type="spellEnd"/>
            <w:r>
              <w:t>)</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t>SQuAD</w:t>
      </w:r>
      <w:proofErr w:type="spellEnd"/>
      <w:r>
        <w:t xml:space="preserve"> dataset (~87,000+ examples) rather than the 1,000-example </w:t>
      </w:r>
      <w:proofErr w:type="spellStart"/>
      <w:r>
        <w:t>SQuAD_tiny</w:t>
      </w:r>
      <w:proofErr w:type="spellEnd"/>
      <w:r>
        <w:t xml:space="preserve"> 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w:t>
      </w:r>
      <w:proofErr w:type="spellStart"/>
      <w:r>
        <w:t>SQuAD</w:t>
      </w:r>
      <w:proofErr w:type="spellEnd"/>
      <w:r>
        <w:t xml:space="preserve"> dataset structure and answer-length conventions as the test set (indices 3,100–3,199 of the </w:t>
      </w:r>
      <w:proofErr w:type="spellStart"/>
      <w:r>
        <w:t>SQuAD</w:t>
      </w:r>
      <w:proofErr w:type="spellEnd"/>
      <w:r>
        <w:t xml:space="preserve"> validation split), so its output style is closely matched to this specific evaluation set, whereas mrm8488 was shaped by the full, more heterogeneous </w:t>
      </w:r>
      <w:proofErr w:type="spellStart"/>
      <w:r>
        <w:t>SQuAD</w:t>
      </w:r>
      <w:proofErr w:type="spellEnd"/>
      <w:r>
        <w:t xml:space="preserve"> v1 training distribution and may produce longer or differently-phrased spans that reduce lexical overlap even when correct. Second, a </w:t>
      </w:r>
      <w:proofErr w:type="spellStart"/>
      <w:r>
        <w:t>SQuAD</w:t>
      </w:r>
      <w:proofErr w:type="spellEnd"/>
      <w:r>
        <w:t xml:space="preserve"> v2 vs. v1 mismatch: mrm8488 was fine-tuned on </w:t>
      </w:r>
      <w:proofErr w:type="spellStart"/>
      <w:r>
        <w:t>SQuAD</w:t>
      </w:r>
      <w:proofErr w:type="spellEnd"/>
      <w:r>
        <w:t xml:space="preserve"> v2, which includes unanswerable questions and trains the model to sometimes hedge or decline to answer; since every question in the </w:t>
      </w:r>
      <w:proofErr w:type="spellStart"/>
      <w:r>
        <w:t>SQuAD_tiny</w:t>
      </w:r>
      <w:proofErr w:type="spellEnd"/>
      <w:r>
        <w:t xml:space="preserve"> test set (drawn from </w:t>
      </w:r>
      <w:proofErr w:type="spellStart"/>
      <w:r>
        <w:t>SQuAD</w:t>
      </w:r>
      <w:proofErr w:type="spellEnd"/>
      <w: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w:t>
      </w:r>
      <w:r w:rsidR="00F3416F">
        <w:t>penalized</w:t>
      </w:r>
      <w:r>
        <w:t xml:space="preserve">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num w:numId="1" w16cid:durableId="1710758973">
    <w:abstractNumId w:val="3"/>
    <w:lvlOverride w:ilvl="0">
      <w:startOverride w:val="1"/>
    </w:lvlOverride>
  </w:num>
  <w:num w:numId="2" w16cid:durableId="2030911079">
    <w:abstractNumId w:val="1"/>
  </w:num>
  <w:num w:numId="3" w16cid:durableId="1104181113">
    <w:abstractNumId w:val="0"/>
  </w:num>
  <w:num w:numId="4" w16cid:durableId="105804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12C61"/>
    <w:rsid w:val="00082F19"/>
    <w:rsid w:val="000F2EE7"/>
    <w:rsid w:val="00161779"/>
    <w:rsid w:val="001F0442"/>
    <w:rsid w:val="001F4DEF"/>
    <w:rsid w:val="002A2650"/>
    <w:rsid w:val="002A56F9"/>
    <w:rsid w:val="002B7936"/>
    <w:rsid w:val="00360599"/>
    <w:rsid w:val="00377D70"/>
    <w:rsid w:val="003B27F6"/>
    <w:rsid w:val="003B4D43"/>
    <w:rsid w:val="00404D7A"/>
    <w:rsid w:val="00442068"/>
    <w:rsid w:val="00526CA5"/>
    <w:rsid w:val="00550602"/>
    <w:rsid w:val="005849E2"/>
    <w:rsid w:val="00587DD7"/>
    <w:rsid w:val="00666682"/>
    <w:rsid w:val="006A53D7"/>
    <w:rsid w:val="006A791E"/>
    <w:rsid w:val="007233A0"/>
    <w:rsid w:val="0078244F"/>
    <w:rsid w:val="00800C62"/>
    <w:rsid w:val="00834E4D"/>
    <w:rsid w:val="008815C6"/>
    <w:rsid w:val="008B1BAE"/>
    <w:rsid w:val="00906364"/>
    <w:rsid w:val="00A7381E"/>
    <w:rsid w:val="00B01DA9"/>
    <w:rsid w:val="00BC4686"/>
    <w:rsid w:val="00CA0BAC"/>
    <w:rsid w:val="00CA29A1"/>
    <w:rsid w:val="00DF511F"/>
    <w:rsid w:val="00ED22BA"/>
    <w:rsid w:val="00F211CC"/>
    <w:rsid w:val="00F3416F"/>
    <w:rsid w:val="00F52BAA"/>
    <w:rsid w:val="00FB24F2"/>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5975</Words>
  <Characters>34780</Characters>
  <Application>Microsoft Office Word</Application>
  <DocSecurity>0</DocSecurity>
  <Lines>940</Lines>
  <Paragraphs>617</Paragraphs>
  <ScaleCrop>false</ScaleCrop>
  <Company/>
  <LinksUpToDate>false</LinksUpToDate>
  <CharactersWithSpaces>40138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36</cp:revision>
  <dcterms:created xsi:type="dcterms:W3CDTF">2026-09-16T10:32:00Z</dcterms:created>
  <dcterms:modified xsi:type="dcterms:W3CDTF">2026-09-19T08:23:00Z</dcterms:modified>
</cp:coreProperties>
</file>