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تقرير الخبير المحاسبي</w:t>
      </w:r>
    </w:p>
    <w:p/>
    <w:p>
      <w:r>
        <w:t xml:space="preserve">الدعوى رقم: 1409/2024</w:t>
      </w:r>
    </w:p>
    <w:p>
      <w:r>
        <w:t xml:space="preserve">المحكمة: المحكمة الابتدائية بمسقط</w:t>
      </w:r>
    </w:p>
    <w:p>
      <w:r>
        <w:t xml:space="preserve">الولاية: مسقط</w:t>
      </w:r>
    </w:p>
    <w:p/>
    <w:p>
      <w:r>
        <w:t xml:space="preserve">المدعي: محمد بن عبدالله العماني</w:t>
      </w:r>
    </w:p>
    <w:p>
      <w:r>
        <w:t xml:space="preserve">المدعى عليه: شركة عمان للتطوير</w:t>
      </w:r>
    </w:p>
    <w:p/>
    <w:p>
      <w:r>
        <w:t xml:space="preserve">التاريخ: 2024-10-15م / 1446-04-12هـ</w:t>
      </w:r>
    </w:p>
    <w:p/>
    <w:p>
      <w:r>
        <w:rPr>
          <w:b/>
        </w:rPr>
        <w:t>حساب مستحقات نهاية الخدمة</w:t>
      </w:r>
    </w:p>
    <w:p>
      <w:r>
        <w:t xml:space="preserve">مدة الخدمة: 6 سنة و 4 شهر</w:t>
      </w:r>
    </w:p>
    <w:p/>
    <w:p>
      <w:r>
        <w:t xml:space="preserve">مكافأة نهاية الخدمة: 3633.904 ريال عماني</w:t>
      </w:r>
    </w:p>
    <w:p>
      <w:r>
        <w:t xml:space="preserve">بدل الإشعار: 750.000 ريال عماني</w:t>
      </w:r>
    </w:p>
    <w:p>
      <w:r>
        <w:t xml:space="preserve">رصيد الإجازات: 775.000 ريال عماني</w:t>
      </w:r>
    </w:p>
    <w:p/>
    <w:p>
      <w:r>
        <w:rPr>
          <w:b/>
        </w:rPr>
        <w:t xml:space="preserve">إجمالي المستحقات: 5158.904 ريال عماني</w:t>
      </w:r>
    </w:p>
    <w:p/>
    <w:p/>
    <w:p>
      <w:r>
        <w:t xml:space="preserve">الخبير: طارق الخبير</w:t>
      </w:r>
    </w:p>
    <w:p>
      <w:r>
        <w:t xml:space="preserve">خبير محاسب قانوني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