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تقرير الخبير المحاسبي</w:t>
      </w:r>
    </w:p>
    <w:p/>
    <w:p>
      <w:r>
        <w:t xml:space="preserve">الدعوى رقم: N/A</w:t>
      </w:r>
    </w:p>
    <w:p>
      <w:r>
        <w:t xml:space="preserve">المحكمة: المحكمة الابتدائية</w:t>
      </w:r>
    </w:p>
    <w:p>
      <w:r>
        <w:t xml:space="preserve">الولاية: مسقط</w:t>
      </w:r>
    </w:p>
    <w:p/>
    <w:p>
      <w:r>
        <w:t xml:space="preserve">المدعي: غير محدد</w:t>
      </w:r>
    </w:p>
    <w:p>
      <w:r>
        <w:t xml:space="preserve">المدعى عليه: غير محدد</w:t>
      </w:r>
    </w:p>
    <w:p/>
    <w:p>
      <w:r>
        <w:t xml:space="preserve">التاريخ: 2026-01-09م / هـ</w:t>
      </w:r>
    </w:p>
    <w:p/>
    <w:p>
      <w:r>
        <w:rPr>
          <w:b/>
        </w:rPr>
        <w:t>حساب مستحقات نهاية الخدمة</w:t>
      </w:r>
    </w:p>
    <w:p>
      <w:r>
        <w:t xml:space="preserve">مدة الخدمة: 0 سنة و 0 شهر</w:t>
      </w:r>
    </w:p>
    <w:p/>
    <w:p>
      <w:r>
        <w:t xml:space="preserve">مكافأة نهاية الخدمة: 0.000 ريال عماني</w:t>
      </w:r>
    </w:p>
    <w:p>
      <w:r>
        <w:t xml:space="preserve">بدل الإشعار: 0.000 ريال عماني</w:t>
      </w:r>
    </w:p>
    <w:p>
      <w:r>
        <w:t xml:space="preserve">رصيد الإجازات: 0.000 ريال عماني</w:t>
      </w:r>
    </w:p>
    <w:p/>
    <w:p>
      <w:r>
        <w:rPr>
          <w:b/>
        </w:rPr>
        <w:t xml:space="preserve">إجمالي المستحقات: 0.000 ريال عماني</w:t>
      </w:r>
    </w:p>
    <w:p/>
    <w:p/>
    <w:p>
      <w:r>
        <w:t xml:space="preserve">الخبير: طارق الخبير</w:t>
      </w:r>
    </w:p>
    <w:p>
      <w:r>
        <w:t xml:space="preserve">خبير محاسب قانوني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