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تقرير الخبير المحاسبي</w:t>
      </w:r>
    </w:p>
    <w:p/>
    <w:p>
      <w:r>
        <w:t>الدعوى رقم: {{ case_number }}</w:t>
      </w:r>
    </w:p>
    <w:p>
      <w:r>
        <w:t>المحكمة: {{ court_name }}</w:t>
      </w:r>
    </w:p>
    <w:p>
      <w:r>
        <w:t>الولاية: {{ wilaya }}</w:t>
      </w:r>
    </w:p>
    <w:p/>
    <w:p>
      <w:r>
        <w:t>المدعي: {{ plaintiff_name }}</w:t>
      </w:r>
    </w:p>
    <w:p>
      <w:r>
        <w:t>المدعى عليه: {{ defendant_name }}</w:t>
      </w:r>
    </w:p>
    <w:p/>
    <w:p>
      <w:r>
        <w:t>التاريخ: {{ gregorian_date }}م / {{ hijri_date }}هـ</w:t>
      </w:r>
    </w:p>
    <w:p/>
    <w:p>
      <w:r>
        <w:rPr>
          <w:b/>
        </w:rPr>
        <w:t>حساب مستحقات نهاية الخدمة</w:t>
      </w:r>
    </w:p>
    <w:p>
      <w:r>
        <w:t>مدة الخدمة: {{ service_period }}</w:t>
      </w:r>
    </w:p>
    <w:p/>
    <w:p>
      <w:r>
        <w:t>مكافأة نهاية الخدمة: {{ eosb }} ريال عماني</w:t>
      </w:r>
    </w:p>
    <w:p>
      <w:r>
        <w:t>بدل الإشعار: {{ notice_pay }} ريال عماني</w:t>
      </w:r>
    </w:p>
    <w:p>
      <w:r>
        <w:t>رصيد الإجازات: {{ leave_pay }} ريال عماني</w:t>
      </w:r>
    </w:p>
    <w:p/>
    <w:p>
      <w:r>
        <w:rPr>
          <w:b/>
        </w:rPr>
        <w:t>إجمالي المستحقات: {{ total_due }} ريال عماني</w:t>
      </w:r>
    </w:p>
    <w:p/>
    <w:p/>
    <w:p>
      <w:r>
        <w:t>الخبير: {{ expert_name }}</w:t>
      </w:r>
    </w:p>
    <w:p>
      <w:r>
        <w:t>{{ expert_title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