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 Core, ASP.NET</w:t>
      </w:r>
      <w:r>
        <w:rPr>
          <w:rStyle w:val="None"/>
          <w:rFonts w:ascii="Arial" w:hAnsi="Arial"/>
          <w:outline w:val="0"/>
          <w:color w:val="333333"/>
          <w:sz w:val="20"/>
          <w:szCs w:val="20"/>
          <w:u w:color="333333"/>
          <w:rtl w:val="0"/>
          <w:lang w:val="en-US"/>
          <w14:textFill>
            <w14:solidFill>
              <w14:srgbClr w14:val="333333"/>
            </w14:solidFill>
          </w14:textFill>
        </w:rPr>
        <w:t xml:space="preserve"> (8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Third Party LLM and RAG: OpenAI, Hugging Face</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Integration: REST, GraphQL, gRPC, SOAP, FHIR/HL7, HAPI-FHIR, JWT, Apollo</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Networking: TCP, UDP, MQTT, AMQP, HTTP,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Soft Skills</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Technical Leadership, Mentorship, Stakeholder Management, Knowledge Transfer, Team Building</w:t>
      </w:r>
      <w:r>
        <w:rPr>
          <w:rStyle w:val="None"/>
          <w:rFonts w:ascii="Helvetica" w:hAnsi="Helvetica"/>
          <w:outline w:val="0"/>
          <w:color w:val="333333"/>
          <w:sz w:val="20"/>
          <w:szCs w:val="20"/>
          <w:u w:color="333333"/>
          <w:rtl w:val="0"/>
          <w:lang w:val="en-US"/>
          <w14:textFill>
            <w14:solidFill>
              <w14:srgbClr w14:val="333333"/>
            </w14:solidFill>
          </w14:textFill>
        </w:rPr>
        <w:t xml:space="preserve"> (20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Now</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.NET Core, C#, Azure Cosmos DB, Hugging Face, OpenAI, Okta, ZeroMQ, Dagster, Prefect, DBT, Pandas, Pydanitc, Polars, Kafka, Debezium</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LangChain, LlamaIndex</w:t>
      </w:r>
      <w:r>
        <w:rPr>
          <w:rStyle w:val="None"/>
          <w:rFonts w:ascii="Arial" w:hAnsi="Arial"/>
          <w:b w:val="1"/>
          <w:bCs w:val="1"/>
          <w:outline w:val="0"/>
          <w:color w:val="000000"/>
          <w:sz w:val="20"/>
          <w:szCs w:val="20"/>
          <w:u w:color="000000"/>
          <w:rtl w:val="0"/>
          <w:lang w:val="en-US"/>
          <w14:textFill>
            <w14:solidFill>
              <w14:srgbClr w14:val="000000"/>
            </w14:solidFill>
          </w14:textFill>
        </w:rPr>
        <w:t>, Kubeflow, Node.js.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 data ingestion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NumPy, scikit-learn, Apache Spark, Scala, PySpark, Snowflake, BigQuery, DBT, Databricks, Vue, React, Neo4J, Tableau,  Microsoft PowerBI, Python, Go, Java, Spring Boot, .NET Core, C#, Apache Solr, Lucene, ElasticSearch, Looker, Sentry, DVC, MLflow, Kubeflow, Dagster, Prefect, DBT, </w:t>
      </w:r>
      <w:r>
        <w:rPr>
          <w:rStyle w:val="None"/>
          <w:rFonts w:ascii="Arial" w:hAnsi="Arial"/>
          <w:b w:val="1"/>
          <w:bCs w:val="1"/>
          <w:sz w:val="20"/>
          <w:szCs w:val="20"/>
          <w:rtl w:val="0"/>
          <w:lang w:val="en-US"/>
        </w:rPr>
        <w:t xml:space="preserve">OpenLineage, HAPI FHIR.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Redesigned Rotary International</w:t>
      </w:r>
      <w:r>
        <w:rPr>
          <w:rStyle w:val="None A"/>
          <w:rFonts w:ascii="Arial" w:hAnsi="Arial" w:hint="default"/>
          <w:b w:val="1"/>
          <w:bCs w:val="1"/>
          <w:sz w:val="20"/>
          <w:szCs w:val="20"/>
          <w:rtl w:val="0"/>
          <w:lang w:val="en-US"/>
        </w:rPr>
        <w:t>’</w:t>
      </w:r>
      <w:r>
        <w:rPr>
          <w:rStyle w:val="None A"/>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character" w:styleId="None A">
    <w:name w:val="None A"/>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