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Python (Flask, Django, Tornado, Sanic, </w:t>
      </w:r>
      <w:r>
        <w:rPr>
          <w:rStyle w:val="None A"/>
          <w:rFonts w:ascii="Arial" w:hAnsi="Arial"/>
          <w:b w:val="1"/>
          <w:bCs w:val="1"/>
          <w:sz w:val="20"/>
          <w:szCs w:val="20"/>
          <w:rtl w:val="0"/>
          <w:lang w:val="en-US"/>
        </w:rPr>
        <w:t>SQLAlchemy, Alembic</w:t>
      </w:r>
      <w:r>
        <w:rPr>
          <w:rFonts w:ascii="Arial" w:hAnsi="Arial"/>
          <w:b w:val="1"/>
          <w:bCs w:val="1"/>
          <w:outline w:val="0"/>
          <w:color w:val="000000"/>
          <w:sz w:val="20"/>
          <w:szCs w:val="20"/>
          <w:u w:color="000000"/>
          <w:rtl w:val="0"/>
          <w:lang w:val="en-US"/>
          <w14:textFill>
            <w14:solidFill>
              <w14:srgbClr w14:val="000000"/>
            </w14:solidFill>
          </w14:textFill>
        </w:rPr>
        <w:t>) (12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AWS, GCP (12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Software Architecture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Integration, Monitoring  and Deployment Tools: Jenkins (10 years), </w:t>
      </w:r>
      <w:r>
        <w:rPr>
          <w:rStyle w:val="None A"/>
          <w:rFonts w:ascii="Arial" w:hAnsi="Arial"/>
          <w:b w:val="1"/>
          <w:bCs w:val="1"/>
          <w:sz w:val="20"/>
          <w:szCs w:val="20"/>
          <w:rtl w:val="0"/>
          <w:lang w:val="en-US"/>
        </w:rPr>
        <w:t>Ansible (8 years), Docker (8 years), Elastic Stack (8 years), Prometheus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Kafka (5 years), RabbitMQ/AMQP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 Fast.ai,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 D3 (5 years), Three.js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  </w:t>
      </w:r>
      <w:r>
        <w:rPr>
          <w:rFonts w:ascii="Arial" w:hAnsi="Arial"/>
          <w:b w:val="1"/>
          <w:bCs w:val="1"/>
          <w:outline w:val="0"/>
          <w:color w:val="000000"/>
          <w:sz w:val="20"/>
          <w:szCs w:val="20"/>
          <w:u w:color="000000"/>
          <w:rtl w:val="0"/>
          <w:lang w:val="en-US"/>
          <w14:textFill>
            <w14:solidFill>
              <w14:srgbClr w14:val="000000"/>
            </w14:solidFill>
          </w14:textFill>
        </w:rPr>
        <w:t>Airflow, Snowflake, BigQuery, Redshift (5 years)</w:t>
      </w:r>
      <w:r>
        <w:rPr>
          <w:rFonts w:ascii="Arial" w:hAnsi="Arial"/>
          <w:b w:val="1"/>
          <w:bCs w:val="1"/>
          <w:outline w:val="0"/>
          <w:color w:val="000000"/>
          <w:sz w:val="20"/>
          <w:szCs w:val="20"/>
          <w:u w:color="000000"/>
          <w:rtl w:val="0"/>
          <w:lang w:val="en-US"/>
          <w14:textFill>
            <w14:solidFill>
              <w14:srgbClr w14:val="000000"/>
            </w14:solidFill>
          </w14:textFill>
        </w:rPr>
        <w:t>, Spark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(12 years), CouchDB (2 years), Neo4J (10 years), Elasticsearch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 gRPC, REST, Oauth2 (Django Rest Framework, Restless, TastyPie, JWT, suds)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(12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A"/>
        </w:rPr>
      </w:pP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3"/>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3"/>
          <w:rtl w:val="0"/>
          <w:lang w:val="en-US"/>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Style w:val="Hyperlink.3"/>
        </w:rPr>
      </w:pPr>
      <w:r>
        <w:rPr>
          <w:rStyle w:val="Hyperlink.3"/>
          <w:rtl w:val="0"/>
          <w:lang w:val="en-US"/>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Style w:val="Hyperlink.3"/>
          <w:rtl w:val="0"/>
          <w:lang w:val="en-US"/>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Hyperlink.3"/>
        </w:rPr>
      </w:pPr>
      <w:r>
        <w:rPr>
          <w:rStyle w:val="Hyperlink.3"/>
          <w:rtl w:val="0"/>
          <w:lang w:val="en-US"/>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Energy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Three.js, D3, HighCharts, Flask, Django, Pandas, SQLAlchemy, PostgreSQL, ELK, Nginx, RabbitMQ, Redis, Celery, Jenkins, Prometheus, Grafana, Bitbucket Pipelines, Google Cloud Platform</w:t>
      </w:r>
      <w:r>
        <w:rPr>
          <w:rStyle w:val="None"/>
          <w:rFonts w:ascii="Arial" w:hAnsi="Arial"/>
          <w:b w:val="1"/>
          <w:bCs w:val="1"/>
          <w:outline w:val="0"/>
          <w:color w:val="000000"/>
          <w:sz w:val="20"/>
          <w:szCs w:val="20"/>
          <w:u w:color="000000"/>
          <w:rtl w:val="0"/>
          <w:lang w:val="en-US"/>
          <w14:textFill>
            <w14:solidFill>
              <w14:srgbClr w14:val="000000"/>
            </w14:solidFill>
          </w14:textFill>
        </w:rPr>
        <w:t>, Zabbix</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Designed event infrastructures using Kafka</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Kafka, Nginx/Gunicorn, Python3, Redis, Docker, Celery, Pandas, Kubernetes, AWS, Java, Scala, Spark, Bitbucket Pipelines, Vue, Redshift, BigQuery, Snowflake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