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(IAM, EC2, S3, SQS, SNS, ELB, Route 53, CloudFormation, VPC, CloudFront, CloudWatch, RedShift, DynamoDB, Lambda, Kinesis, boto3)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Cloud Infrastructure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oogle Cloud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Microsoft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Azure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CI/CD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Jenkins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PagerDuty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Datadog (10 years),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NewRelic (13 years),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Kubernetes (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8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lastic Stack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Machine Learning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NumPy, SciPy, PyTorch, Pandas, Keras, Tensorflow, Fast.ai, SymPy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12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Soc2, HIPAA, PCI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years),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Pandas, SQLAlchemy, PostgreSQL, ELK, Nginx, RabbitMQ, Redis, Celery, Jenkins, Prometheus, Grafana, Bitbucket Pipelines, Google Cloud Platform, Terraform, Ansible, Zabbix, Prometheus, Docker, Kubernetes, Dagster, PowerBI,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Datadog.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Jul.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Feb.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lastic Stack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Kafka, Nginx/Gunicorn, Python3, Go,  Redis, Docker, Celery, Pandas, Kubernetes, AWS, Java, Scala, Spark, Bitbucket Pipelines, Vue, React, Apollo, GraphQL, Redshift, BigQuery, Snowflake,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ache, Elastic Search), Ansible, Nginx/UWSGI/Gunicorn, Python, Redis, Docker, Celery, RQ, React, Apollo, GraphQL, Stylus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types optimization, schema normalization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