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 or staff-level roles that leverage my expertise while offering opportunities for growth and knowledge sharing.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Spring, Spring Boot, Spring Rest,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Microsoft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Jenkins, Docker, Kubernetes,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Helm, ArgoCD,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Terraform, Pulumi, Ansible, Prometheus, Datadog, New Relic, OpenTelemetry, SaltStack, GitLab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Messaging: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JCelery, Apache Kafka, AWS Kinesis, RabbitMQ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Integration: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Security: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Kerberos, OpenSSL, RSA, LDAP, OAuth2,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TLS/SSL, TCP, UDP, MQTT, AMQP, HTTP, HTTPS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ProxMox, Qemu, VMWare, Virtuozzo, Xen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Scraping: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Leadership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SDLC: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entorship,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takeholder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anagement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Built and optimized MLOps pipelines using PyTorch,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cikit-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earn, and Spacy, training and maintaining ML models.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ance on compliance.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PySpark, Snowflake, BigQuery, dbt, Vue, React, Neo4J, Tableau,  Microsoft PowerBI, Python, Go, Java.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J2EE and Hibernate.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76" w:hanging="21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