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w:t>
      </w:r>
      <w:r>
        <w:rPr>
          <w:rStyle w:val="None"/>
          <w:rFonts w:ascii="Arial" w:hAnsi="Arial"/>
          <w:b w:val="1"/>
          <w:bCs w:val="1"/>
          <w:outline w:val="0"/>
          <w:color w:val="000000"/>
          <w:sz w:val="20"/>
          <w:szCs w:val="20"/>
          <w:u w:color="000000"/>
          <w:rtl w:val="0"/>
          <w:lang w:val="en-US"/>
          <w14:textFill>
            <w14:solidFill>
              <w14:srgbClr w14:val="000000"/>
            </w14:solidFill>
          </w14:textFill>
        </w:rPr>
        <w:t>5</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Observability, Configuration Management and CI/CD: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A"/>
          <w:rFonts w:ascii="Arial" w:hAnsi="Arial"/>
          <w:b w:val="1"/>
          <w:bCs w:val="1"/>
          <w:sz w:val="20"/>
          <w:szCs w:val="20"/>
          <w:rtl w:val="0"/>
          <w:lang w:val="en-US"/>
        </w:rPr>
        <w:t>Ansible (8 years), Docker, Kubernetes (8 years),  Elastic Stack (10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(10 years), Samza (2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Vue (12 years), D3 (8 years), Three.js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Airflow, Dagster, Snowflake,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DataBricks,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BigQuery,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Redshift,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Spark,</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Cassandra, Apache Parquet,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MongoDB, DynamoDB,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Project Management: Jira, Trello, Bitbucket, Asana (15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initial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Elastic Stack, Nginx, RabbitMQ, Redis, Celery, Jenkins, Grafana, Bitbucket Pipelines, Google Cloud Platform, Terraform, Ansible, Zabbix, Prometheus, Docker, Kubernetes, Dagster, PowerBI, Tableau, Datadog, PagerDuty</w:t>
      </w:r>
      <w:r>
        <w:rPr>
          <w:rStyle w:val="None"/>
          <w:rFonts w:ascii="Arial" w:hAnsi="Arial"/>
          <w:b w:val="1"/>
          <w:bCs w:val="1"/>
          <w:outline w:val="0"/>
          <w:color w:val="000000"/>
          <w:sz w:val="20"/>
          <w:szCs w:val="20"/>
          <w:u w:color="000000"/>
          <w:rtl w:val="0"/>
          <w:lang w:val="en-US"/>
          <w14:textFill>
            <w14:solidFill>
              <w14:srgbClr w14:val="000000"/>
            </w14:solidFill>
          </w14:textFill>
        </w:rPr>
        <w:t>, .NET Core 7, C#</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Elastic Stack, Apache Kafka, Python3, Go,  Redis, Docker, Celery, Pandas, Kubernetes, AWS, Java, Scala, Apache Spark, Bitbucket Pipelines, Vue, React, Apollo, Redshift, BigQuery, Snowflake</w:t>
      </w:r>
      <w:r>
        <w:rPr>
          <w:rStyle w:val="None"/>
          <w:rFonts w:ascii="Arial" w:hAnsi="Arial"/>
          <w:b w:val="1"/>
          <w:bCs w:val="1"/>
          <w:outline w:val="0"/>
          <w:color w:val="000000"/>
          <w:sz w:val="20"/>
          <w:szCs w:val="20"/>
          <w:u w:color="000000"/>
          <w:rtl w:val="0"/>
          <w:lang w:val="en-US"/>
          <w14:textFill>
            <w14:solidFill>
              <w14:srgbClr w14:val="000000"/>
            </w14:solidFill>
          </w14:textFill>
        </w:rPr>
        <w:t>, Apache Parquet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Cassandra, Databricks,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Tableau, Apache Splunk, PagerDuty, Datadog.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