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and Deployment: Terraform (6 years), Jenkins (10 years),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Apache Splunk (10 years), Datadog (8 years), NewRelic, Nagios (15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CouchDB, MongoDB, DynamoDB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Neo4J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ElasticSearch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 , Oracle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Github , Bitbucket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years),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ubversion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SVN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ELK, Kafka, Nginx/Gunicorn, Python3, Go,  Redis, Docker, Celery, Pandas, Kubernetes, AWS, Java, Scala, Spark, Bitbucket Pipelines, Vue, React, Apollo, GraphQL, Redshift, BigQuery, Snowflake,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Splunk. 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