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resources, allow gaining new experiences and share my skills and knowledge with the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 Tools: 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Elastic Stack (8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Kafka (7 years), RabbitMQ/AMQP (5 years), Samza (2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 (12 Years)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RHEL/Fedora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BSD 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TypeScript, React, Vue (10 years), D3 (5 years), Three.js (5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Oauth2 (Django Rest Framework, Restless, TastyPie, JWT, suds) (15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(10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Degree: B.Sc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developed, documented and designed migration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and development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Three.js, D3, HighCharts, Flask, Django, Pandas, SQLAlchemy, PostgreSQL, ELK, Nginx, RabbitMQ, Redis, Celery, Jenkins, Prometheus, Grafana,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Bitbucket Pipelines, Google Cloud Platform, Terraform, Ansible, Zabbix,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Prometheus,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Monitored system performance metrics to ensure optimal availability and scalability of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distributed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SQLAlchemy, PostgreSQL, ELK, Kafka, Nginx/Gunicorn, Python3, Redis, Docker, Celery, Pandas, Kubernetes, AWS, Java, Scala, Spark, Bitbucket Pipelines, Vue, Redshift, BigQuery, Snowflake, Tableau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- Built analytical visualization graphs, performed data analysis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Pandas, SciPy, matplotlib, Pandas-DRF , D3, Scrapy, Scikit-Learn,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