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 .NET Core, ASP.NET, Entity Framework Core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(7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Web Servers: Nginx, Openresty, Gunicorn, uwsgi, Apache</w:t>
      </w:r>
      <w:r>
        <w:rPr>
          <w:rStyle w:val="None"/>
          <w:rFonts w:ascii="Arial" w:hAnsi="Arial"/>
          <w:outline w:val="0"/>
          <w:color w:val="333333"/>
          <w:sz w:val="20"/>
          <w:szCs w:val="20"/>
          <w:u w:color="333333"/>
          <w:rtl w:val="0"/>
          <w:lang w:val="en-US"/>
          <w14:textFill>
            <w14:solidFill>
              <w14:srgbClr w14:val="333333"/>
            </w14:solidFill>
          </w14:textFill>
        </w:rPr>
        <w:t xml:space="preserve"> (20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Third Party LLM and RAG: OpenAI, Hugging Face, 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Integration: REST, GraphQL, gRPC, SOAP, FHIR/HL7/X12/EDI, HAPI-FHIR, JWT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Networking: TCP, UDP, MQTT, AMQP, HTTP (CDN, WAF),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b w:val="1"/>
          <w:bCs w:val="1"/>
          <w:outline w:val="0"/>
          <w:color w:val="333333"/>
          <w:sz w:val="20"/>
          <w:szCs w:val="20"/>
          <w:u w:color="333333"/>
          <w:rtl w:val="0"/>
          <w:lang w:val="ru-RU"/>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HITRUST</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 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Tech. Leadership, Mentorship, Stakeholder Management, Team Building </w:t>
      </w:r>
      <w:r>
        <w:rPr>
          <w:rStyle w:val="None"/>
          <w:rFonts w:ascii="Helvetica" w:hAnsi="Helvetica"/>
          <w:outline w:val="0"/>
          <w:color w:val="333333"/>
          <w:sz w:val="20"/>
          <w:szCs w:val="20"/>
          <w:u w:color="333333"/>
          <w:rtl w:val="0"/>
          <w:lang w:val="en-US"/>
          <w14:textFill>
            <w14:solidFill>
              <w14:srgbClr w14:val="333333"/>
            </w14:solidFill>
          </w14:textFill>
        </w:rPr>
        <w:t>(20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 xml:space="preserve">Now 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SQLAlchemy, Alembic,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.NET Core, Entity Framework, C#, Azure Cosmos DB, Hugging Face, OpenAI, Okta, ZeroMQ, Dagster, Prefect, DBT, Pandas, Pydanitc, Polars, Kafka, Debezium, LangChain, LlamaIndex, Kubeflow, Node.js, Nginx.</w:t>
      </w:r>
    </w:p>
    <w:p>
      <w:pPr>
        <w:pStyle w:val="Normal.0"/>
        <w:rPr>
          <w:rStyle w:val="None"/>
          <w:rFonts w:ascii="Arial" w:cs="Arial" w:hAnsi="Arial" w:eastAsia="Arial"/>
          <w:b w:val="1"/>
          <w:bCs w:val="1"/>
          <w:sz w:val="20"/>
          <w:szCs w:val="20"/>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2021 </w:t>
      </w: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FHIR/HL7/X12 data ingestion/integration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NumPy, scikit-learn, Apache Spark, Scala, PySpark, Snowflake, BigQuery, DBT, Databricks, Vue, React, Neo4J, Tableau,  Microsoft PowerBI, Python, Go, Java, Spring Boot, .NET, C#, Apache Solr, Lucene, ElasticSearch, Looker, Sentry, DVC, MLflow, Kubeflow, Dagster, Prefect, DBT, </w:t>
      </w:r>
      <w:r>
        <w:rPr>
          <w:rStyle w:val="None"/>
          <w:rFonts w:ascii="Arial" w:hAnsi="Arial"/>
          <w:b w:val="1"/>
          <w:bCs w:val="1"/>
          <w:sz w:val="20"/>
          <w:szCs w:val="20"/>
          <w:rtl w:val="0"/>
          <w:lang w:val="en-US"/>
        </w:rPr>
        <w:t>OpenLineage, HAPI FHIR, X12 EDI, Nginx.</w:t>
      </w:r>
    </w:p>
    <w:p>
      <w:pPr>
        <w:pStyle w:val="Normal.0"/>
        <w:rPr>
          <w:rStyle w:val="None"/>
          <w:rFonts w:ascii="Arial" w:cs="Arial" w:hAnsi="Arial" w:eastAsia="Aria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July 2018 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 Nginx, Openresty.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Redesigned Rotary International</w:t>
      </w:r>
      <w:r>
        <w:rPr>
          <w:rStyle w:val="None A"/>
          <w:rFonts w:ascii="Arial" w:hAnsi="Arial" w:hint="default"/>
          <w:b w:val="1"/>
          <w:bCs w:val="1"/>
          <w:sz w:val="20"/>
          <w:szCs w:val="20"/>
          <w:rtl w:val="0"/>
          <w:lang w:val="en-US"/>
        </w:rPr>
        <w:t>’</w:t>
      </w:r>
      <w:r>
        <w:rPr>
          <w:rStyle w:val="None A"/>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character" w:styleId="None A">
    <w:name w:val="None A"/>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