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Kafka, Debezium,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Rust,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