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C# and .NET: C#, .NET Core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Mining,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Airflow, Dagster, Snowflake,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DataBrocks,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BigQuery,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AWS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Redshift,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(15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MVP and initial version of platform API using .NET Core 7 and C#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.NET Core 7, C#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OpenAPI, TypeScript, SQLAlchemy, PostgreSQL, Elastic Stack, Apache Kafka, Nginx/Gunicorn, Python3, Go,  Redis, Docker, Celery, Pandas, Kubernetes, AWS, Java, Scala, Apache Spark, Bitbucket Pipelines, Vue, React, Apollo, GraphQL, Redshift, BigQuery, Snowflake, 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</w:t>
      </w:r>
      <w:r>
        <w:rPr>
          <w:rStyle w:val="None A"/>
          <w:b w:val="1"/>
          <w:bCs w:val="1"/>
          <w:rtl w:val="0"/>
          <w:lang w:val="en-US"/>
        </w:rPr>
        <w:t xml:space="preserve"> Django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based social platform, utilizing Django Rest Framework and Celery.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