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Crates,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Tokio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Rocket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Actix Web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CI/CD: Jenkins, Docker, Kubernetes, ArgoCD, Terraform, Sentry, Pulumi, Ansible, Looker, Datadog, New Relic, Prometheus, Grafana, OpenTelemetry, GitLab, Github Actions, ELK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Stack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MLflow, Kubeflow, DVC,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OpenLineage, Snowflake, BigQuery, Redshift, DBT, Apache Spark, Cassandra, Parquet, Apache Arrow, Apache Flink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PyJanitor, Pandas, Keras, Tensorflow, Fast.ai, Spacy, SymPy, Stanza, Gensim, NLTK, 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/SQL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 PostgreSQL, MySQL, Cosmos DB, CockroachDB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SQL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Cypher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Memgraph,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ElasticSearch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JTW,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omain Driven Design,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Event Driven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Architectures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Applications of SOLID/DRY,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CQRS, Architecture Patterns, Microservices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Tradeoff Analysis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15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Rust, ZeroMQ, Dagster, Prefect, DBT.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CockroachD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B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NumPy, scikit-learn, Apache Spark, Scala, PySpark, Snowflake, BigQuery, dbt, Vue, React, Neo4J, Tableau,  Microsoft PowerBI, Python, Go, Java, Spring Boot, .NET Core, C#, Apache Solr, Lucene, ElasticSearch, Looker, Sentry, DVC, MLflow, Kubeflow,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