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661533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Create/manage track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Maintain Professor Information Use Case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8"/>
        <w:gridCol w:w="1172"/>
        <w:gridCol w:w="3780"/>
        <w:gridCol w:w="2338"/>
      </w:tblGrid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674D4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674D4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r:id="rId11" w:anchor="_Toc449508784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Modify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r:id="rId12" w:anchor="_Toc449508785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Delete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r:id="rId13" w:anchor="_Toc449508786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Already Exists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r:id="rId14" w:anchor="_Toc449508787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Not Found</w:t>
        </w:r>
      </w:hyperlink>
    </w:p>
    <w:p w:rsidR="004C50E4" w:rsidRPr="0097100F" w:rsidRDefault="00674D4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674D4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r:id="rId17" w:anchor="_Toc449508790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Log In</w:t>
        </w:r>
      </w:hyperlink>
    </w:p>
    <w:p w:rsidR="004C50E4" w:rsidRPr="00CC3E43" w:rsidRDefault="00674D41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Toc44950879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66153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Create/Manage Track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C50E4" w:rsidRPr="0097100F" w:rsidRDefault="004C50E4" w:rsidP="00854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 case allows the authenticated user 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 w:rsidR="007E579A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 administrator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create and manage track</w:t>
      </w:r>
      <w:r w:rsidR="00661533" w:rsidRPr="00661533">
        <w:rPr>
          <w:rFonts w:ascii="Times New Roman" w:eastAsia="Times New Roman" w:hAnsi="Times New Roman" w:cs="Times New Roman"/>
          <w:sz w:val="20"/>
          <w:szCs w:val="20"/>
        </w:rPr>
        <w:t xml:space="preserve">. The track can 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be added more features after it is created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, edited its features or deleted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 actor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of this use case 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are the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 or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 a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dministrator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C50E4" w:rsidRPr="0097100F" w:rsidRDefault="004C50E4" w:rsidP="00CB53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authenticated user or the administrator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the "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Upload music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" activity from the </w:t>
      </w:r>
      <w:r w:rsidR="00477932">
        <w:rPr>
          <w:rFonts w:ascii="Times New Roman" w:eastAsia="Times New Roman" w:hAnsi="Times New Roman" w:cs="Times New Roman"/>
          <w:sz w:val="20"/>
          <w:szCs w:val="20"/>
        </w:rPr>
        <w:t>Profile page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to create the track and they sele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ct “edit”</w:t>
      </w:r>
      <w:r w:rsidR="00902A26">
        <w:rPr>
          <w:rFonts w:ascii="Times New Roman" w:eastAsia="Times New Roman" w:hAnsi="Times New Roman" w:cs="Times New Roman"/>
          <w:sz w:val="20"/>
          <w:szCs w:val="20"/>
        </w:rPr>
        <w:t>, “view”, “delete”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activity in the L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ist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of track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page to</w:t>
      </w:r>
      <w:r w:rsidR="00902A26">
        <w:rPr>
          <w:rFonts w:ascii="Times New Roman" w:eastAsia="Times New Roman" w:hAnsi="Times New Roman" w:cs="Times New Roman"/>
          <w:sz w:val="20"/>
          <w:szCs w:val="20"/>
        </w:rPr>
        <w:t xml:space="preserve"> manage it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Default="00CC3E43" w:rsidP="003E5D5A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5" w:name="_Toc423410240"/>
      <w:bookmarkStart w:id="6" w:name="_Toc425054506"/>
      <w:bookmarkEnd w:id="5"/>
      <w:bookmarkEnd w:id="6"/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bookmarkStart w:id="7" w:name="_Toc449508782"/>
      <w:r w:rsidR="008E50A9">
        <w:rPr>
          <w:rFonts w:ascii="Arial" w:eastAsia="Times New Roman" w:hAnsi="Arial" w:cs="Arial"/>
          <w:b/>
          <w:bCs/>
          <w:sz w:val="20"/>
          <w:szCs w:val="20"/>
        </w:rPr>
        <w:t>2.1 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A949B2">
        <w:rPr>
          <w:rFonts w:ascii="Arial" w:eastAsia="Times New Roman" w:hAnsi="Arial" w:cs="Arial"/>
          <w:b/>
          <w:bCs/>
          <w:sz w:val="20"/>
          <w:szCs w:val="20"/>
        </w:rPr>
        <w:t>Create</w:t>
      </w:r>
    </w:p>
    <w:p w:rsidR="00A94B6A" w:rsidRPr="0097100F" w:rsidRDefault="00A94B6A" w:rsidP="00A949B2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or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administrator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Upload music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"</w:t>
      </w:r>
      <w:r w:rsidR="00637C4D">
        <w:rPr>
          <w:rFonts w:ascii="Times New Roman" w:eastAsia="Times New Roman" w:hAnsi="Times New Roman" w:cs="Times New Roman"/>
          <w:sz w:val="20"/>
          <w:szCs w:val="20"/>
        </w:rPr>
        <w:t xml:space="preserve"> in the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 xml:space="preserve"> My</w:t>
      </w:r>
      <w:r w:rsidR="00637C4D">
        <w:rPr>
          <w:rFonts w:ascii="Times New Roman" w:eastAsia="Times New Roman" w:hAnsi="Times New Roman" w:cs="Times New Roman"/>
          <w:sz w:val="20"/>
          <w:szCs w:val="20"/>
        </w:rPr>
        <w:t xml:space="preserve"> Profile page</w:t>
      </w:r>
      <w:r w:rsidR="0026733B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:rsidR="00EB7CCB" w:rsidRPr="000118DD" w:rsidRDefault="00A94B6A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0118D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 w:rsidRPr="000118DD">
        <w:rPr>
          <w:rFonts w:ascii="Times New Roman" w:eastAsia="Times New Roman" w:hAnsi="Times New Roman" w:cs="Times New Roman"/>
          <w:sz w:val="20"/>
          <w:szCs w:val="20"/>
        </w:rPr>
        <w:t xml:space="preserve">authenticated </w:t>
      </w:r>
      <w:r w:rsidR="00ED52CE" w:rsidRPr="000118DD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0118DD" w:rsidRPr="000118DD">
        <w:rPr>
          <w:rFonts w:ascii="Times New Roman" w:eastAsia="Times New Roman" w:hAnsi="Times New Roman" w:cs="Times New Roman"/>
          <w:sz w:val="20"/>
          <w:szCs w:val="20"/>
        </w:rPr>
        <w:t>or the administrator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 w:rsidR="00654CD7" w:rsidRPr="000118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path of music file and enters</w:t>
      </w:r>
      <w:r w:rsidR="000118DD" w:rsidRPr="000118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Title and Artist and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“Add”.</w:t>
      </w:r>
    </w:p>
    <w:p w:rsidR="00ED52CE" w:rsidRDefault="00ED52CE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0118DD">
        <w:rPr>
          <w:rFonts w:ascii="Times New Roman" w:eastAsia="Times New Roman" w:hAnsi="Times New Roman" w:cs="Times New Roman"/>
          <w:sz w:val="20"/>
          <w:szCs w:val="20"/>
        </w:rPr>
        <w:t>Select “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Other features”, if they need to add more features to the track</w:t>
      </w:r>
    </w:p>
    <w:p w:rsidR="003011F2" w:rsidRPr="00F74972" w:rsidRDefault="00F74972" w:rsidP="00F74972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track is uploaded and t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he system record</w:t>
      </w:r>
      <w:r>
        <w:rPr>
          <w:rFonts w:ascii="Times New Roman" w:eastAsia="Times New Roman" w:hAnsi="Times New Roman" w:cs="Times New Roman"/>
          <w:sz w:val="20"/>
          <w:szCs w:val="20"/>
        </w:rPr>
        <w:t>s the track information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8" w:name="_Toc423410241"/>
      <w:bookmarkStart w:id="9" w:name="_Toc425054507"/>
      <w:bookmarkStart w:id="10" w:name="_Toc449508783"/>
      <w:bookmarkEnd w:id="8"/>
      <w:bookmarkEnd w:id="9"/>
    </w:p>
    <w:p w:rsidR="003011F2" w:rsidRPr="00CC3E43" w:rsidRDefault="004C50E4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10"/>
      <w:r w:rsidR="008E50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50A9">
        <w:rPr>
          <w:rFonts w:ascii="Arial" w:eastAsia="Times New Roman" w:hAnsi="Arial" w:cs="Arial"/>
          <w:b/>
          <w:bCs/>
          <w:sz w:val="20"/>
          <w:szCs w:val="20"/>
        </w:rPr>
        <w:t>– Manage</w:t>
      </w:r>
    </w:p>
    <w:p w:rsidR="003011F2" w:rsidRPr="005C34DB" w:rsidRDefault="00390877" w:rsidP="005C34D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5C34DB">
        <w:rPr>
          <w:rFonts w:ascii="Arial" w:eastAsia="Times New Roman" w:hAnsi="Arial" w:cs="Arial"/>
          <w:b/>
          <w:bCs/>
          <w:sz w:val="20"/>
          <w:szCs w:val="20"/>
        </w:rPr>
        <w:t>View</w:t>
      </w:r>
      <w:r w:rsidR="005C34DB"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 track from </w:t>
      </w:r>
      <w:r w:rsidR="005C34DB">
        <w:rPr>
          <w:rFonts w:ascii="Arial" w:eastAsia="Times New Roman" w:hAnsi="Arial" w:cs="Arial"/>
          <w:b/>
          <w:bCs/>
          <w:sz w:val="20"/>
          <w:szCs w:val="20"/>
        </w:rPr>
        <w:t>list of track</w:t>
      </w:r>
    </w:p>
    <w:p w:rsidR="005C34DB" w:rsidRDefault="005C34DB" w:rsidP="005C34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In the List of tracks page, the authenticated user or the administrator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“view” fr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om the music they want to view.</w:t>
      </w:r>
    </w:p>
    <w:p w:rsidR="005C34DB" w:rsidRPr="005C34DB" w:rsidRDefault="005C34DB" w:rsidP="005C34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The system display track features.</w:t>
      </w:r>
    </w:p>
    <w:p w:rsidR="003011F2" w:rsidRPr="000118DD" w:rsidRDefault="00390877" w:rsidP="00CC3E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  <w:r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2.2.2 </w:t>
      </w:r>
      <w:r w:rsid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5C34DB">
        <w:rPr>
          <w:rFonts w:ascii="Arial" w:eastAsia="Times New Roman" w:hAnsi="Arial" w:cs="Arial"/>
          <w:b/>
          <w:bCs/>
          <w:sz w:val="20"/>
          <w:szCs w:val="20"/>
        </w:rPr>
        <w:t xml:space="preserve">Edit track information </w:t>
      </w:r>
    </w:p>
    <w:p w:rsidR="005C34DB" w:rsidRPr="0097100F" w:rsidRDefault="005C34DB" w:rsidP="005C34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In the List of tracks page, the authenticated user or the administrator select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“edit” from the music they want to edit. This will lead to Track features page.</w:t>
      </w:r>
    </w:p>
    <w:p w:rsidR="005C34DB" w:rsidRPr="0097100F" w:rsidRDefault="005C34DB" w:rsidP="005C34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The system display lasted update track features and the authenticated user or the administrator can edit them.</w:t>
      </w:r>
    </w:p>
    <w:p w:rsidR="005C34DB" w:rsidRDefault="005C34DB" w:rsidP="005C34D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After editing, they need to select “Update features” and the system save the updated features</w:t>
      </w:r>
      <w:r w:rsidR="000C657C">
        <w:rPr>
          <w:rFonts w:ascii="Times New Roman" w:eastAsia="Times New Roman" w:hAnsi="Times New Roman" w:cs="Times New Roman"/>
          <w:sz w:val="20"/>
          <w:szCs w:val="20"/>
        </w:rPr>
        <w:t xml:space="preserve"> and the system also saves the old data as a log.</w:t>
      </w:r>
    </w:p>
    <w:p w:rsidR="004C50E4" w:rsidRPr="005C34DB" w:rsidRDefault="00902A26" w:rsidP="00CC3E4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449508785"/>
      <w:r w:rsidRPr="005C34DB">
        <w:rPr>
          <w:rFonts w:ascii="Arial" w:eastAsia="Times New Roman" w:hAnsi="Arial" w:cs="Arial"/>
          <w:b/>
          <w:bCs/>
          <w:sz w:val="20"/>
        </w:rPr>
        <w:t>2.2.3</w:t>
      </w:r>
      <w:r w:rsidR="000118DD" w:rsidRPr="005C34DB">
        <w:rPr>
          <w:rFonts w:ascii="Arial" w:eastAsia="Times New Roman" w:hAnsi="Arial" w:cs="Arial"/>
          <w:b/>
          <w:bCs/>
          <w:sz w:val="20"/>
        </w:rPr>
        <w:t>  Delete</w:t>
      </w:r>
      <w:r w:rsidR="003011F2" w:rsidRPr="005C34DB">
        <w:rPr>
          <w:rFonts w:ascii="Arial" w:eastAsia="Times New Roman" w:hAnsi="Arial" w:cs="Arial"/>
          <w:b/>
          <w:bCs/>
          <w:sz w:val="20"/>
        </w:rPr>
        <w:t xml:space="preserve"> </w:t>
      </w:r>
      <w:bookmarkEnd w:id="11"/>
      <w:r w:rsidR="00F74972" w:rsidRPr="005C34DB">
        <w:rPr>
          <w:rFonts w:ascii="Arial" w:eastAsia="Times New Roman" w:hAnsi="Arial" w:cs="Arial"/>
          <w:b/>
          <w:bCs/>
          <w:sz w:val="20"/>
        </w:rPr>
        <w:t>track from list of track</w:t>
      </w:r>
    </w:p>
    <w:p w:rsidR="000118DD" w:rsidRDefault="000118DD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5C34DB">
        <w:rPr>
          <w:rFonts w:ascii="Times New Roman" w:eastAsia="Times New Roman" w:hAnsi="Times New Roman" w:cs="Times New Roman"/>
          <w:sz w:val="20"/>
          <w:szCs w:val="20"/>
        </w:rPr>
        <w:t>1. In the list of tracks page, the authenticated user or the administrator select “</w:t>
      </w:r>
      <w:r w:rsidRPr="005C34DB">
        <w:rPr>
          <w:rFonts w:ascii="Times New Roman" w:eastAsia="Times New Roman" w:hAnsi="Times New Roman" w:cs="Times New Roman"/>
          <w:sz w:val="20"/>
          <w:szCs w:val="20"/>
          <w:highlight w:val="yellow"/>
        </w:rPr>
        <w:t>delete</w:t>
      </w:r>
      <w:r w:rsidRPr="005C34DB">
        <w:rPr>
          <w:rFonts w:ascii="Times New Roman" w:eastAsia="Times New Roman" w:hAnsi="Times New Roman" w:cs="Times New Roman"/>
          <w:sz w:val="20"/>
          <w:szCs w:val="20"/>
        </w:rPr>
        <w:t xml:space="preserve">” from the music they want to </w:t>
      </w:r>
      <w:r w:rsidR="005D60F7" w:rsidRPr="005C34DB">
        <w:rPr>
          <w:rFonts w:ascii="Times New Roman" w:eastAsia="Times New Roman" w:hAnsi="Times New Roman" w:cs="Times New Roman"/>
          <w:sz w:val="20"/>
          <w:szCs w:val="20"/>
        </w:rPr>
        <w:t>delete</w:t>
      </w:r>
      <w:r w:rsidRPr="005C34DB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118DD" w:rsidRPr="0097100F" w:rsidRDefault="000118DD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The system </w:t>
      </w:r>
      <w:r w:rsidR="005D60F7">
        <w:rPr>
          <w:rFonts w:ascii="Times New Roman" w:eastAsia="Times New Roman" w:hAnsi="Times New Roman" w:cs="Times New Roman"/>
          <w:sz w:val="20"/>
          <w:szCs w:val="20"/>
        </w:rPr>
        <w:t>delete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D60F7">
        <w:rPr>
          <w:rFonts w:ascii="Times New Roman" w:eastAsia="Times New Roman" w:hAnsi="Times New Roman" w:cs="Times New Roman"/>
          <w:sz w:val="20"/>
          <w:szCs w:val="20"/>
        </w:rPr>
        <w:t>that track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    3.    </w:t>
      </w:r>
      <w:bookmarkStart w:id="12" w:name="_Toc449508788"/>
      <w:r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12"/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3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3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4" w:name="_Toc423410254"/>
      <w:bookmarkStart w:id="15" w:name="_Toc425054513"/>
      <w:bookmarkEnd w:id="14"/>
      <w:bookmarkEnd w:id="15"/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 4.1    </w:t>
      </w:r>
      <w:bookmarkStart w:id="16" w:name="_Toc449508790"/>
      <w:r w:rsidRPr="0097100F">
        <w:rPr>
          <w:rFonts w:ascii="Arial" w:eastAsia="Times New Roman" w:hAnsi="Arial" w:cs="Arial"/>
          <w:b/>
          <w:bCs/>
          <w:sz w:val="20"/>
          <w:szCs w:val="20"/>
        </w:rPr>
        <w:t>Log In</w:t>
      </w:r>
      <w:bookmarkEnd w:id="16"/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Before this use case begins the 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or the administrator has to log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onto the system.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7" w:name="_Toc449508791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7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Default="007E579A" w:rsidP="00CC3E4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>Roll back “edit”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 xml:space="preserve"> activity done by this use case to the backup database</w:t>
      </w:r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94F94" w:rsidSect="00EB7C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B62" w:rsidRDefault="00E24B62" w:rsidP="007335E4">
      <w:pPr>
        <w:spacing w:after="0" w:line="240" w:lineRule="auto"/>
      </w:pPr>
      <w:r>
        <w:separator/>
      </w:r>
    </w:p>
  </w:endnote>
  <w:endnote w:type="continuationSeparator" w:id="1">
    <w:p w:rsidR="00E24B62" w:rsidRDefault="00E24B62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0118DD" w:rsidRDefault="00674D41">
        <w:pPr>
          <w:pStyle w:val="Footer"/>
          <w:jc w:val="right"/>
        </w:pPr>
        <w:fldSimple w:instr=" PAGE   \* MERGEFORMAT ">
          <w:r w:rsidR="008E50A9">
            <w:rPr>
              <w:noProof/>
            </w:rPr>
            <w:t>4</w:t>
          </w:r>
        </w:fldSimple>
      </w:p>
    </w:sdtContent>
  </w:sdt>
  <w:p w:rsidR="000118DD" w:rsidRDefault="00011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B62" w:rsidRDefault="00E24B62" w:rsidP="007335E4">
      <w:pPr>
        <w:spacing w:after="0" w:line="240" w:lineRule="auto"/>
      </w:pPr>
      <w:r>
        <w:separator/>
      </w:r>
    </w:p>
  </w:footnote>
  <w:footnote w:type="continuationSeparator" w:id="1">
    <w:p w:rsidR="00E24B62" w:rsidRDefault="00E24B62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8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C50E4"/>
    <w:rsid w:val="00001D89"/>
    <w:rsid w:val="00003CB5"/>
    <w:rsid w:val="000060EF"/>
    <w:rsid w:val="00007EC8"/>
    <w:rsid w:val="000118DD"/>
    <w:rsid w:val="000142DF"/>
    <w:rsid w:val="00015AAA"/>
    <w:rsid w:val="00016247"/>
    <w:rsid w:val="00016D81"/>
    <w:rsid w:val="00023317"/>
    <w:rsid w:val="00023EAA"/>
    <w:rsid w:val="0003740E"/>
    <w:rsid w:val="00047016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C657C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55066"/>
    <w:rsid w:val="001639E4"/>
    <w:rsid w:val="0017202E"/>
    <w:rsid w:val="00180EE4"/>
    <w:rsid w:val="001865D1"/>
    <w:rsid w:val="00187857"/>
    <w:rsid w:val="00187F16"/>
    <w:rsid w:val="001908A9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7585"/>
    <w:rsid w:val="003104ED"/>
    <w:rsid w:val="00311324"/>
    <w:rsid w:val="00322600"/>
    <w:rsid w:val="00323770"/>
    <w:rsid w:val="003278C5"/>
    <w:rsid w:val="00327A0B"/>
    <w:rsid w:val="00330895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4DDE"/>
    <w:rsid w:val="003E5D5A"/>
    <w:rsid w:val="003E7DF5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7793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F94"/>
    <w:rsid w:val="005A24E9"/>
    <w:rsid w:val="005A27A8"/>
    <w:rsid w:val="005A6CB9"/>
    <w:rsid w:val="005B0C0D"/>
    <w:rsid w:val="005B5F61"/>
    <w:rsid w:val="005B67EA"/>
    <w:rsid w:val="005B778B"/>
    <w:rsid w:val="005C34DB"/>
    <w:rsid w:val="005D0D51"/>
    <w:rsid w:val="005D4FB8"/>
    <w:rsid w:val="005D60F7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317FD"/>
    <w:rsid w:val="00637C4D"/>
    <w:rsid w:val="00647D66"/>
    <w:rsid w:val="006508C2"/>
    <w:rsid w:val="006518F9"/>
    <w:rsid w:val="00654CD7"/>
    <w:rsid w:val="00657A9A"/>
    <w:rsid w:val="00661533"/>
    <w:rsid w:val="0066265E"/>
    <w:rsid w:val="006717FB"/>
    <w:rsid w:val="00672407"/>
    <w:rsid w:val="00674D41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26AC"/>
    <w:rsid w:val="007E4347"/>
    <w:rsid w:val="007E47C7"/>
    <w:rsid w:val="007E579A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E50A9"/>
    <w:rsid w:val="008F1EEE"/>
    <w:rsid w:val="00901CFA"/>
    <w:rsid w:val="00902A26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51E06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2C47"/>
    <w:rsid w:val="009E5B62"/>
    <w:rsid w:val="009F248C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57C8A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9B2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D324C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6EFA"/>
    <w:rsid w:val="00C72875"/>
    <w:rsid w:val="00C925A1"/>
    <w:rsid w:val="00C94927"/>
    <w:rsid w:val="00CA2D32"/>
    <w:rsid w:val="00CA6ADD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D03C55"/>
    <w:rsid w:val="00D169CC"/>
    <w:rsid w:val="00D16D71"/>
    <w:rsid w:val="00D16E87"/>
    <w:rsid w:val="00D21EC1"/>
    <w:rsid w:val="00D22B30"/>
    <w:rsid w:val="00D475EF"/>
    <w:rsid w:val="00D5054C"/>
    <w:rsid w:val="00D54FE1"/>
    <w:rsid w:val="00D55BFC"/>
    <w:rsid w:val="00D60FF6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24B62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4972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18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17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.mah.se/RUP/wyliecollegeexample/courseregistrationproject/artifacts/requirements/uc_mprof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.mah.se/RUP/wyliecollegeexample/courseregistrationproject/artifacts/requirements/uc_mprof.htm" TargetMode="External"/><Relationship Id="rId10" Type="http://schemas.openxmlformats.org/officeDocument/2006/relationships/hyperlink" Target="http://www.ts.mah.se/RUP/wyliecollegeexample/courseregistrationproject/artifacts/requirements/uc_mprof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hyperlink" Target="http://www.ts.mah.se/RUP/wyliecollegeexample/courseregistrationproject/artifacts/requirements/uc_mpro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WIN 7</cp:lastModifiedBy>
  <cp:revision>120</cp:revision>
  <dcterms:created xsi:type="dcterms:W3CDTF">2011-10-16T21:53:00Z</dcterms:created>
  <dcterms:modified xsi:type="dcterms:W3CDTF">2011-10-18T15:10:00Z</dcterms:modified>
</cp:coreProperties>
</file>