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1B60C2" w14:textId="77777777" w:rsidR="00C67177" w:rsidRPr="00C67177" w:rsidRDefault="00C67177" w:rsidP="00C6717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A digitalização dos processos hospitalares vem transformando a forma como a saúde é praticada, monitorada e gerida. O projeto Hospital XPTO, coordenado pela profissional Luísa, ilustra esse movimento ao implantar um sistema digital integrado de gestão de dados clínicos. O sistema contempla funcionalidades como agendamento de exames, captura e armazenamento de imagens médicas (tomografias, ressonâncias, radiografias), monitoramento contínuo de pacientes em tempo real e integração com prontuários eletrônicos. Essa realidade apresenta desafios típicos do paradigma do Big Data, caracterizado pelo tratamento de dados em grande volume, alta velocidade, variedade de formatos e complexidade de integração (PANIZ, 2016).</w:t>
      </w:r>
    </w:p>
    <w:p w14:paraId="6F5B9A56" w14:textId="77777777" w:rsidR="00C67177" w:rsidRPr="00C67177" w:rsidRDefault="00C67177" w:rsidP="00C6717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 xml:space="preserve">A literatura aponta que os bancos de dados relacionais, por mais robustos que sejam, encontram limites quando confrontados com dados massivos, dinâmicos e heterogêneos. </w:t>
      </w:r>
      <w:proofErr w:type="spellStart"/>
      <w:r w:rsidRPr="00C67177">
        <w:rPr>
          <w:rFonts w:ascii="Arial" w:hAnsi="Arial" w:cs="Arial"/>
          <w:sz w:val="24"/>
          <w:szCs w:val="24"/>
        </w:rPr>
        <w:t>Paniz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(2016) ressalta que o movimento </w:t>
      </w:r>
      <w:proofErr w:type="spellStart"/>
      <w:r w:rsidRPr="00C67177">
        <w:rPr>
          <w:rFonts w:ascii="Arial" w:hAnsi="Arial" w:cs="Arial"/>
          <w:sz w:val="24"/>
          <w:szCs w:val="24"/>
        </w:rPr>
        <w:t>NoSQL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surge justamente para lidar com esses novos cenários. Do mesmo modo, </w:t>
      </w:r>
      <w:proofErr w:type="spellStart"/>
      <w:r w:rsidRPr="00C67177">
        <w:rPr>
          <w:rFonts w:ascii="Arial" w:hAnsi="Arial" w:cs="Arial"/>
          <w:sz w:val="24"/>
          <w:szCs w:val="24"/>
        </w:rPr>
        <w:t>Sadalage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e Fowler (2019) introduzem a ideia de persistência poliglota, defendendo que não existe uma tecnologia única capaz de resolver todos os problemas de armazenamento e processamento de dados. Essa visão é reforçada por Redmond e Wilson (2012), ao apresentarem diferentes paradigmas de bancos de dados, cada qual otimizado para determinados problemas.</w:t>
      </w:r>
    </w:p>
    <w:p w14:paraId="283CC75D" w14:textId="77777777" w:rsidR="00C67177" w:rsidRPr="00C67177" w:rsidRDefault="00C67177" w:rsidP="00C6717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 xml:space="preserve">No setor hospitalar, a confiabilidade e a precisão da informação tornam-se ainda mais críticas. Como lembra </w:t>
      </w:r>
      <w:proofErr w:type="spellStart"/>
      <w:r w:rsidRPr="00C67177">
        <w:rPr>
          <w:rFonts w:ascii="Arial" w:hAnsi="Arial" w:cs="Arial"/>
          <w:sz w:val="24"/>
          <w:szCs w:val="24"/>
        </w:rPr>
        <w:t>Vaish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(2013), uma decisão médica equivocada, causada por falhas de integridade ou inconsistências, pode comprometer diretamente a vida do paciente. </w:t>
      </w:r>
      <w:proofErr w:type="spellStart"/>
      <w:r w:rsidRPr="00C67177">
        <w:rPr>
          <w:rFonts w:ascii="Arial" w:hAnsi="Arial" w:cs="Arial"/>
          <w:sz w:val="24"/>
          <w:szCs w:val="24"/>
        </w:rPr>
        <w:t>Tiwari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(2011) complementa que a saúde é uma das áreas onde o Big Data tem potencial de impacto social elevado, seja para a personalização de tratamentos, seja para a detecção precoce de surtos epidemiológicos.</w:t>
      </w:r>
    </w:p>
    <w:p w14:paraId="3EB8F767" w14:textId="77777777" w:rsidR="00C67177" w:rsidRPr="00C67177" w:rsidRDefault="00C67177" w:rsidP="00C6717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Assim, analisar o Hospital XPTO como um caso de Big Data permite compreender não apenas as potencialidades da digitalização hospitalar, mas também os desafios técnicos, éticos e organizacionais que envolvem o uso de dados em saúde.</w:t>
      </w:r>
    </w:p>
    <w:p w14:paraId="58F8023C" w14:textId="0B7FC3D0" w:rsidR="00C67177" w:rsidRPr="00C67177" w:rsidRDefault="00C67177" w:rsidP="00C671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8573A6" w14:textId="77777777" w:rsidR="00C67177" w:rsidRPr="00C67177" w:rsidRDefault="00C67177" w:rsidP="00C6717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lastRenderedPageBreak/>
        <w:t xml:space="preserve">O termo Big Data tornou-se popular a partir dos “três </w:t>
      </w:r>
      <w:proofErr w:type="spellStart"/>
      <w:r w:rsidRPr="00C67177">
        <w:rPr>
          <w:rFonts w:ascii="Arial" w:hAnsi="Arial" w:cs="Arial"/>
          <w:sz w:val="24"/>
          <w:szCs w:val="24"/>
        </w:rPr>
        <w:t>Vs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” propostos por Doug </w:t>
      </w:r>
      <w:proofErr w:type="spellStart"/>
      <w:r w:rsidRPr="00C67177">
        <w:rPr>
          <w:rFonts w:ascii="Arial" w:hAnsi="Arial" w:cs="Arial"/>
          <w:sz w:val="24"/>
          <w:szCs w:val="24"/>
        </w:rPr>
        <w:t>Laney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em 2001: volume, velocidade e variedade. Atualmente, pesquisadores e profissionais incluem ainda outros atributos, como veracidade, viscosidade, volatilidade, variabilidade e viabilidade. Esses elementos estão presentes no ambiente hospitalar do projeto XPTO.</w:t>
      </w:r>
    </w:p>
    <w:p w14:paraId="17B26B6B" w14:textId="77777777" w:rsidR="00C67177" w:rsidRPr="00C67177" w:rsidRDefault="00C67177" w:rsidP="00C6717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 xml:space="preserve">O volume se expressa na quantidade de dados clínicos gerados diariamente: centenas de pacientes, milhares de exames, imagens médicas de alta resolução e registros contínuos de monitoramento fisiológico. O conjunto de imagens, por si só, representa um desafio de armazenamento, exigindo sistemas de arquivamento como PACS (Picture </w:t>
      </w:r>
      <w:proofErr w:type="spellStart"/>
      <w:r w:rsidRPr="00C67177">
        <w:rPr>
          <w:rFonts w:ascii="Arial" w:hAnsi="Arial" w:cs="Arial"/>
          <w:sz w:val="24"/>
          <w:szCs w:val="24"/>
        </w:rPr>
        <w:t>Archiving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and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Communication System) integrados a soluções escaláveis.</w:t>
      </w:r>
    </w:p>
    <w:p w14:paraId="32CF9F9E" w14:textId="77777777" w:rsidR="00C67177" w:rsidRPr="00C67177" w:rsidRDefault="00C67177" w:rsidP="00C6717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A velocidade se evidencia pelo fluxo em tempo real: sinais vitais captados por sensores, alertas de equipamentos de UTI e atualizações de prescrições médicas demandam processamento imediato. Em sistemas críticos, atrasos de segundos podem comprometer a eficácia de intervenções clínicas.</w:t>
      </w:r>
    </w:p>
    <w:p w14:paraId="622B4FA1" w14:textId="77777777" w:rsidR="00C67177" w:rsidRPr="00C67177" w:rsidRDefault="00C67177" w:rsidP="00C6717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 xml:space="preserve">A variedade é ampla: textos em prontuários eletrônicos (dados estruturados e semiestruturados), exames laboratoriais em diferentes formatos, relatórios em PDF, imagens DICOM, sinais contínuos de equipamentos e até dados externos, como histórico de saúde de </w:t>
      </w:r>
      <w:proofErr w:type="spellStart"/>
      <w:r w:rsidRPr="00C67177">
        <w:rPr>
          <w:rFonts w:ascii="Arial" w:hAnsi="Arial" w:cs="Arial"/>
          <w:sz w:val="24"/>
          <w:szCs w:val="24"/>
        </w:rPr>
        <w:t>wearables</w:t>
      </w:r>
      <w:proofErr w:type="spellEnd"/>
      <w:r w:rsidRPr="00C67177">
        <w:rPr>
          <w:rFonts w:ascii="Arial" w:hAnsi="Arial" w:cs="Arial"/>
          <w:sz w:val="24"/>
          <w:szCs w:val="24"/>
        </w:rPr>
        <w:t>. Esses formatos heterogêneos reforçam a necessidade de padrões de interoperabilidade na saúde e de integração entre sistemas.</w:t>
      </w:r>
    </w:p>
    <w:p w14:paraId="329ACE86" w14:textId="77777777" w:rsidR="00C67177" w:rsidRPr="00C67177" w:rsidRDefault="00C67177" w:rsidP="00C671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 xml:space="preserve">Redmond e Wilson (2012) destacam que cada banco de dados </w:t>
      </w:r>
      <w:proofErr w:type="spellStart"/>
      <w:r w:rsidRPr="00C67177">
        <w:rPr>
          <w:rFonts w:ascii="Arial" w:hAnsi="Arial" w:cs="Arial"/>
          <w:sz w:val="24"/>
          <w:szCs w:val="24"/>
        </w:rPr>
        <w:t>NoSQL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é otimizado para um tipo de problema. No contexto hospitalar, isso pode significar adotar uma arquitetura poliglota, por exemplo:</w:t>
      </w:r>
    </w:p>
    <w:p w14:paraId="77F1A7E5" w14:textId="77777777" w:rsidR="00C67177" w:rsidRPr="00C67177" w:rsidRDefault="00C67177" w:rsidP="00C6717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PostgreSQL para registros estruturados de pacientes e operações administrativas.</w:t>
      </w:r>
    </w:p>
    <w:p w14:paraId="0CC2E565" w14:textId="77777777" w:rsidR="00C67177" w:rsidRPr="00C67177" w:rsidRDefault="00C67177" w:rsidP="00C6717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7177">
        <w:rPr>
          <w:rFonts w:ascii="Arial" w:hAnsi="Arial" w:cs="Arial"/>
          <w:sz w:val="24"/>
          <w:szCs w:val="24"/>
        </w:rPr>
        <w:t>MongoDB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para documentos clínicos e dados flexíveis (laudos em JSON, formulários dinâmicos).</w:t>
      </w:r>
    </w:p>
    <w:p w14:paraId="2BE70811" w14:textId="77777777" w:rsidR="00C67177" w:rsidRPr="00C67177" w:rsidRDefault="00C67177" w:rsidP="00C6717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7177">
        <w:rPr>
          <w:rFonts w:ascii="Arial" w:hAnsi="Arial" w:cs="Arial"/>
          <w:sz w:val="24"/>
          <w:szCs w:val="24"/>
        </w:rPr>
        <w:t>CouchDB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para replicação entre unidades descentralizadas ou atendimento remoto.</w:t>
      </w:r>
    </w:p>
    <w:p w14:paraId="592D4CBD" w14:textId="77777777" w:rsidR="00C67177" w:rsidRPr="00C67177" w:rsidRDefault="00C67177" w:rsidP="00C6717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7177">
        <w:rPr>
          <w:rFonts w:ascii="Arial" w:hAnsi="Arial" w:cs="Arial"/>
          <w:sz w:val="24"/>
          <w:szCs w:val="24"/>
        </w:rPr>
        <w:t>HBase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para séries históricas de monitoramento contínuo em larga escala.</w:t>
      </w:r>
    </w:p>
    <w:p w14:paraId="39E5E353" w14:textId="77777777" w:rsidR="00C67177" w:rsidRPr="00C67177" w:rsidRDefault="00C67177" w:rsidP="00C6717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lastRenderedPageBreak/>
        <w:t>Neo4j para analisar relações entre sintomas, diagnósticos e medicamentos.</w:t>
      </w:r>
    </w:p>
    <w:p w14:paraId="434EB9E0" w14:textId="77777777" w:rsidR="00C67177" w:rsidRPr="00C67177" w:rsidRDefault="00C67177" w:rsidP="00C6717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7177">
        <w:rPr>
          <w:rFonts w:ascii="Arial" w:hAnsi="Arial" w:cs="Arial"/>
          <w:sz w:val="24"/>
          <w:szCs w:val="24"/>
        </w:rPr>
        <w:t>DynamoDB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para integração em nuvem com dispositivos </w:t>
      </w:r>
      <w:proofErr w:type="spellStart"/>
      <w:r w:rsidRPr="00C67177">
        <w:rPr>
          <w:rFonts w:ascii="Arial" w:hAnsi="Arial" w:cs="Arial"/>
          <w:sz w:val="24"/>
          <w:szCs w:val="24"/>
        </w:rPr>
        <w:t>IoT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hospitalares.</w:t>
      </w:r>
    </w:p>
    <w:p w14:paraId="3E3D8E3B" w14:textId="77777777" w:rsidR="00C67177" w:rsidRPr="00C67177" w:rsidRDefault="00C67177" w:rsidP="00C6717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Redis para cache e suporte a consultas de baixa latência.</w:t>
      </w:r>
    </w:p>
    <w:p w14:paraId="5A864EB0" w14:textId="77777777" w:rsidR="00C67177" w:rsidRPr="00C67177" w:rsidRDefault="00C67177" w:rsidP="00C671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Os bancos citados servem como exemplos ilustrativos de uma arquitetura poliglota possível, não sendo uma lista exaustiva nem prescritiva para o Hospital XPTO (SADALAGE; FOWLER, 2019; REDMOND; WILSON, 2012).</w:t>
      </w:r>
    </w:p>
    <w:p w14:paraId="4FB0540A" w14:textId="77777777" w:rsidR="00C67177" w:rsidRPr="00C67177" w:rsidRDefault="00C67177" w:rsidP="00C671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 xml:space="preserve">A análise dos </w:t>
      </w:r>
      <w:proofErr w:type="spellStart"/>
      <w:r w:rsidRPr="00C67177">
        <w:rPr>
          <w:rFonts w:ascii="Arial" w:hAnsi="Arial" w:cs="Arial"/>
          <w:sz w:val="24"/>
          <w:szCs w:val="24"/>
        </w:rPr>
        <w:t>Vs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complementares ajuda a explicitar os desafios no Hospital XPTO.</w:t>
      </w:r>
    </w:p>
    <w:p w14:paraId="3A94F261" w14:textId="77777777" w:rsidR="00C67177" w:rsidRPr="00C67177" w:rsidRDefault="00C67177" w:rsidP="00C6717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Veracidade: refere-se à confiabilidade dos dados médicos. Uma imagem de tomografia mal processada ou um registro de monitoramento com falhas de transmissão pode levar a interpretações equivocadas. Garantir registros completos e fidedignos é essencial para decisões clínicas seguras (VAISH, 2013).</w:t>
      </w:r>
    </w:p>
    <w:p w14:paraId="7F23388B" w14:textId="77777777" w:rsidR="00C67177" w:rsidRPr="00C67177" w:rsidRDefault="00C67177" w:rsidP="00C6717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 xml:space="preserve">Viabilidade: está ligada à capacidade de extrair valor prático dos dados coletados. Nem toda informação armazenada é útil para fins clínicos. </w:t>
      </w:r>
      <w:proofErr w:type="spellStart"/>
      <w:r w:rsidRPr="00C67177">
        <w:rPr>
          <w:rFonts w:ascii="Arial" w:hAnsi="Arial" w:cs="Arial"/>
          <w:sz w:val="24"/>
          <w:szCs w:val="24"/>
        </w:rPr>
        <w:t>Paniz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(2016) destaca a importância de selecionar atributos relevantes e evitar sobrecarga informacional. No XPTO, isso pode significar priorizar parâmetros como frequência cardíaca e saturação de oxigênio, reduzindo ruídos que não contribuem ao diagnóstico.</w:t>
      </w:r>
    </w:p>
    <w:p w14:paraId="053D2D60" w14:textId="77777777" w:rsidR="00C67177" w:rsidRPr="00C67177" w:rsidRDefault="00C67177" w:rsidP="00C6717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Variabilidade: diz respeito a mudanças no perfil dos dados ao longo do tempo. Em saúde, é comum observar sazonalidade, como o aumento de doenças respiratórias no inverno, o que altera o volume e a natureza dos registros.</w:t>
      </w:r>
    </w:p>
    <w:p w14:paraId="17027F8A" w14:textId="77777777" w:rsidR="00C67177" w:rsidRPr="00C67177" w:rsidRDefault="00C67177" w:rsidP="00C6717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Volatilidade: relaciona-se a prazos de retenção e descarte de dados por requisitos legais e institucionais. Em um contexto hospitalar, isso inclui políticas de guarda de exames e prontuários e práticas de minimização de dados em conformidade com normas vigentes.</w:t>
      </w:r>
    </w:p>
    <w:p w14:paraId="55E3856F" w14:textId="77777777" w:rsidR="00C67177" w:rsidRPr="00C67177" w:rsidRDefault="00C67177" w:rsidP="00C67177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 xml:space="preserve">Viscosidade: representa a dificuldade de integrar sistemas distintos. O hospital opera com múltiplas plataformas — HIS (Hospital </w:t>
      </w:r>
      <w:proofErr w:type="spellStart"/>
      <w:r w:rsidRPr="00C67177">
        <w:rPr>
          <w:rFonts w:ascii="Arial" w:hAnsi="Arial" w:cs="Arial"/>
          <w:sz w:val="24"/>
          <w:szCs w:val="24"/>
        </w:rPr>
        <w:t>Information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r w:rsidRPr="00C67177">
        <w:rPr>
          <w:rFonts w:ascii="Arial" w:hAnsi="Arial" w:cs="Arial"/>
          <w:sz w:val="24"/>
          <w:szCs w:val="24"/>
        </w:rPr>
        <w:lastRenderedPageBreak/>
        <w:t>System), RIS (</w:t>
      </w:r>
      <w:proofErr w:type="spellStart"/>
      <w:r w:rsidRPr="00C67177">
        <w:rPr>
          <w:rFonts w:ascii="Arial" w:hAnsi="Arial" w:cs="Arial"/>
          <w:sz w:val="24"/>
          <w:szCs w:val="24"/>
        </w:rPr>
        <w:t>Radiology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Information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System), LIS (</w:t>
      </w:r>
      <w:proofErr w:type="spellStart"/>
      <w:r w:rsidRPr="00C67177">
        <w:rPr>
          <w:rFonts w:ascii="Arial" w:hAnsi="Arial" w:cs="Arial"/>
          <w:sz w:val="24"/>
          <w:szCs w:val="24"/>
        </w:rPr>
        <w:t>Laboratory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Information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System), PACS —, além de dispositivos conectados. Essa heterogeneidade cria desafios de interoperabilidade, reforçando a importância de adotar padrões e estratégias de integração que reduzam o atrito entre sistemas (SADALAGE; FOWLER, 2019).</w:t>
      </w:r>
    </w:p>
    <w:p w14:paraId="041424E2" w14:textId="77777777" w:rsidR="00C67177" w:rsidRPr="00C67177" w:rsidRDefault="00C67177" w:rsidP="00C671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O Teorema CAP afirma que, em um sistema distribuído, não é possível garantir simultaneamente consistência (C), disponibilidade (A) e tolerância a partições (P). Em ambientes hospitalares, essa escolha é sensível ao tipo de dado e ao risco envolvido (TIWARI, 2011).</w:t>
      </w:r>
    </w:p>
    <w:p w14:paraId="13D79732" w14:textId="77777777" w:rsidR="00C67177" w:rsidRPr="00C67177" w:rsidRDefault="00C67177" w:rsidP="00C6717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Dados críticos de pacientes (prontuários e resultados de exames) tendem a priorizar consistência e tolerância a partições, mesmo com eventuais impactos na disponibilidade momentânea. Soluções documentais e de séries temporais podem ser configuradas para favorecer esse perfil.</w:t>
      </w:r>
    </w:p>
    <w:p w14:paraId="50D00944" w14:textId="77777777" w:rsidR="00C67177" w:rsidRPr="00C67177" w:rsidRDefault="00C67177" w:rsidP="00C6717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Dados de replicação offline ou em ambientes distribuídos (filiais e unidades móveis) podem priorizar disponibilidade e tolerância a partições, aceitando consistência eventual, como ocorre em arquiteturas orientadas à sincronização posterior.</w:t>
      </w:r>
    </w:p>
    <w:p w14:paraId="58006712" w14:textId="77777777" w:rsidR="00C67177" w:rsidRPr="00C67177" w:rsidRDefault="00C67177" w:rsidP="00C6717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Cache e dados voláteis (sessões, filas, telemetria de baixa latência) normalmente privilegiam disponibilidade, com aceitação de consistência eventual para reduzir a latência.</w:t>
      </w:r>
    </w:p>
    <w:p w14:paraId="227EF090" w14:textId="77777777" w:rsidR="00C67177" w:rsidRPr="00C67177" w:rsidRDefault="00C67177" w:rsidP="00C671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Esse equilíbrio reforça que o Hospital XPTO demanda múltiplas soluções de armazenamento, cada qual escolhida conforme os compromissos esperados no domínio específico (SADALAGE; FOWLER, 2019; REDMOND; WILSON, 2012).</w:t>
      </w:r>
    </w:p>
    <w:p w14:paraId="78BE5631" w14:textId="77777777" w:rsidR="00C67177" w:rsidRPr="00C67177" w:rsidRDefault="00C67177" w:rsidP="00C671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O projeto Hospital XPTO é um exemplo concreto de aplicação de Big Data em saúde. Reúne os elementos definidores do paradigma: grande volume de dados, produção em tempo real, múltiplos formatos, necessidade de confiabilidade clínica, desafios de integração e foco em informação útil para o cuidado.</w:t>
      </w:r>
    </w:p>
    <w:p w14:paraId="38FD7D21" w14:textId="77777777" w:rsidR="00C67177" w:rsidRPr="00C67177" w:rsidRDefault="00C67177" w:rsidP="00C671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 xml:space="preserve">A partir da análise dos </w:t>
      </w:r>
      <w:proofErr w:type="spellStart"/>
      <w:r w:rsidRPr="00C67177">
        <w:rPr>
          <w:rFonts w:ascii="Arial" w:hAnsi="Arial" w:cs="Arial"/>
          <w:sz w:val="24"/>
          <w:szCs w:val="24"/>
        </w:rPr>
        <w:t>Vs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e do Teorema CAP, observa-se que a solução não reside em um único banco de dados, mas em uma arquitetura poliglota capaz de combinar diferentes paradigmas para atender às demandas específicas do </w:t>
      </w:r>
      <w:r w:rsidRPr="00C67177">
        <w:rPr>
          <w:rFonts w:ascii="Arial" w:hAnsi="Arial" w:cs="Arial"/>
          <w:sz w:val="24"/>
          <w:szCs w:val="24"/>
        </w:rPr>
        <w:lastRenderedPageBreak/>
        <w:t xml:space="preserve">hospital (SADALAGE; FOWLER, 2019; REDMOND; WILSON, 2012). Como trabalho introdutório, o foco está em reconhecer os desafios e relacioná-los aos conceitos de Big Data e </w:t>
      </w:r>
      <w:proofErr w:type="spellStart"/>
      <w:r w:rsidRPr="00C67177">
        <w:rPr>
          <w:rFonts w:ascii="Arial" w:hAnsi="Arial" w:cs="Arial"/>
          <w:sz w:val="24"/>
          <w:szCs w:val="24"/>
        </w:rPr>
        <w:t>NoSQL</w:t>
      </w:r>
      <w:proofErr w:type="spellEnd"/>
      <w:r w:rsidRPr="00C67177">
        <w:rPr>
          <w:rFonts w:ascii="Arial" w:hAnsi="Arial" w:cs="Arial"/>
          <w:sz w:val="24"/>
          <w:szCs w:val="24"/>
        </w:rPr>
        <w:t>, sem prescrever uma implementação única.</w:t>
      </w:r>
    </w:p>
    <w:p w14:paraId="391E9CD5" w14:textId="56A5851D" w:rsidR="00C67177" w:rsidRPr="00C67177" w:rsidRDefault="00C67177" w:rsidP="00C671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>Portanto, classificar o Hospital XPTO como projeto de Big Data é reconhecer não apenas a escala e a diversidade dos dados envolvidos, mas também a necessidade de arquiteturas distribuídas, resilientes e integradas, coerentes com a criticidade das decisões em saúde (PANIZ, 2016; TIWARI, 2011; VAISH, 2013).</w:t>
      </w:r>
    </w:p>
    <w:p w14:paraId="66735857" w14:textId="77777777" w:rsidR="00C67177" w:rsidRPr="00C67177" w:rsidRDefault="00C67177" w:rsidP="00C671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67177">
        <w:rPr>
          <w:rFonts w:ascii="Arial" w:hAnsi="Arial" w:cs="Arial"/>
          <w:b/>
          <w:bCs/>
          <w:sz w:val="24"/>
          <w:szCs w:val="24"/>
        </w:rPr>
        <w:t>Referências</w:t>
      </w:r>
    </w:p>
    <w:p w14:paraId="7210EDF3" w14:textId="77777777" w:rsidR="00C67177" w:rsidRPr="00C67177" w:rsidRDefault="00C67177" w:rsidP="00C6717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67177">
        <w:rPr>
          <w:rFonts w:ascii="Arial" w:hAnsi="Arial" w:cs="Arial"/>
          <w:sz w:val="24"/>
          <w:szCs w:val="24"/>
        </w:rPr>
        <w:t xml:space="preserve">PANIZ, D. </w:t>
      </w:r>
      <w:proofErr w:type="spellStart"/>
      <w:r w:rsidRPr="00C67177">
        <w:rPr>
          <w:rFonts w:ascii="Arial" w:hAnsi="Arial" w:cs="Arial"/>
          <w:sz w:val="24"/>
          <w:szCs w:val="24"/>
        </w:rPr>
        <w:t>NoSQL</w:t>
      </w:r>
      <w:proofErr w:type="spellEnd"/>
      <w:r w:rsidRPr="00C67177">
        <w:rPr>
          <w:rFonts w:ascii="Arial" w:hAnsi="Arial" w:cs="Arial"/>
          <w:sz w:val="24"/>
          <w:szCs w:val="24"/>
        </w:rPr>
        <w:t>: como armazenar os dados de uma aplicação moderna. São Paulo: Casa do Código, 2016.</w:t>
      </w:r>
      <w:r w:rsidRPr="00C67177">
        <w:rPr>
          <w:rFonts w:ascii="Arial" w:hAnsi="Arial" w:cs="Arial"/>
          <w:sz w:val="24"/>
          <w:szCs w:val="24"/>
        </w:rPr>
        <w:br/>
        <w:t xml:space="preserve">SADALAGE, P. J.; FOWLER, M. </w:t>
      </w:r>
      <w:proofErr w:type="spellStart"/>
      <w:r w:rsidRPr="00C67177">
        <w:rPr>
          <w:rFonts w:ascii="Arial" w:hAnsi="Arial" w:cs="Arial"/>
          <w:sz w:val="24"/>
          <w:szCs w:val="24"/>
        </w:rPr>
        <w:t>NoSQL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essencial: um guia conciso para o mundo emergente da persistência poliglota. São Paulo: </w:t>
      </w:r>
      <w:proofErr w:type="spellStart"/>
      <w:r w:rsidRPr="00C67177">
        <w:rPr>
          <w:rFonts w:ascii="Arial" w:hAnsi="Arial" w:cs="Arial"/>
          <w:sz w:val="24"/>
          <w:szCs w:val="24"/>
        </w:rPr>
        <w:t>Novatec</w:t>
      </w:r>
      <w:proofErr w:type="spellEnd"/>
      <w:r w:rsidRPr="00C67177">
        <w:rPr>
          <w:rFonts w:ascii="Arial" w:hAnsi="Arial" w:cs="Arial"/>
          <w:sz w:val="24"/>
          <w:szCs w:val="24"/>
        </w:rPr>
        <w:t>, 2019.</w:t>
      </w:r>
      <w:r w:rsidRPr="00C67177">
        <w:rPr>
          <w:rFonts w:ascii="Arial" w:hAnsi="Arial" w:cs="Arial"/>
          <w:sz w:val="24"/>
          <w:szCs w:val="24"/>
        </w:rPr>
        <w:br/>
        <w:t xml:space="preserve">TIWARI, S. Professional </w:t>
      </w:r>
      <w:proofErr w:type="spellStart"/>
      <w:r w:rsidRPr="00C67177">
        <w:rPr>
          <w:rFonts w:ascii="Arial" w:hAnsi="Arial" w:cs="Arial"/>
          <w:sz w:val="24"/>
          <w:szCs w:val="24"/>
        </w:rPr>
        <w:t>NoSQL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67177">
        <w:rPr>
          <w:rFonts w:ascii="Arial" w:hAnsi="Arial" w:cs="Arial"/>
          <w:sz w:val="24"/>
          <w:szCs w:val="24"/>
        </w:rPr>
        <w:t>Hoboken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: John </w:t>
      </w:r>
      <w:proofErr w:type="spellStart"/>
      <w:r w:rsidRPr="00C67177">
        <w:rPr>
          <w:rFonts w:ascii="Arial" w:hAnsi="Arial" w:cs="Arial"/>
          <w:sz w:val="24"/>
          <w:szCs w:val="24"/>
        </w:rPr>
        <w:t>Wiley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&amp; Sons, 2011.</w:t>
      </w:r>
      <w:r w:rsidRPr="00C67177">
        <w:rPr>
          <w:rFonts w:ascii="Arial" w:hAnsi="Arial" w:cs="Arial"/>
          <w:sz w:val="24"/>
          <w:szCs w:val="24"/>
        </w:rPr>
        <w:br/>
        <w:t xml:space="preserve">VAISH, G. </w:t>
      </w:r>
      <w:proofErr w:type="spellStart"/>
      <w:r w:rsidRPr="00C67177">
        <w:rPr>
          <w:rFonts w:ascii="Arial" w:hAnsi="Arial" w:cs="Arial"/>
          <w:sz w:val="24"/>
          <w:szCs w:val="24"/>
        </w:rPr>
        <w:t>Getting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started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with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NoSQL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. Birmingham: </w:t>
      </w:r>
      <w:proofErr w:type="spellStart"/>
      <w:r w:rsidRPr="00C67177">
        <w:rPr>
          <w:rFonts w:ascii="Arial" w:hAnsi="Arial" w:cs="Arial"/>
          <w:sz w:val="24"/>
          <w:szCs w:val="24"/>
        </w:rPr>
        <w:t>Packt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Publishing</w:t>
      </w:r>
      <w:proofErr w:type="spellEnd"/>
      <w:r w:rsidRPr="00C67177">
        <w:rPr>
          <w:rFonts w:ascii="Arial" w:hAnsi="Arial" w:cs="Arial"/>
          <w:sz w:val="24"/>
          <w:szCs w:val="24"/>
        </w:rPr>
        <w:t>, 2013.</w:t>
      </w:r>
      <w:r w:rsidRPr="00C67177">
        <w:rPr>
          <w:rFonts w:ascii="Arial" w:hAnsi="Arial" w:cs="Arial"/>
          <w:sz w:val="24"/>
          <w:szCs w:val="24"/>
        </w:rPr>
        <w:br/>
        <w:t xml:space="preserve">REDMOND, E.; WILSON, J. R. </w:t>
      </w:r>
      <w:proofErr w:type="spellStart"/>
      <w:r w:rsidRPr="00C67177">
        <w:rPr>
          <w:rFonts w:ascii="Arial" w:hAnsi="Arial" w:cs="Arial"/>
          <w:sz w:val="24"/>
          <w:szCs w:val="24"/>
        </w:rPr>
        <w:t>Seven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Databases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C67177">
        <w:rPr>
          <w:rFonts w:ascii="Arial" w:hAnsi="Arial" w:cs="Arial"/>
          <w:sz w:val="24"/>
          <w:szCs w:val="24"/>
        </w:rPr>
        <w:t>Seven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Weeks: a </w:t>
      </w:r>
      <w:proofErr w:type="spellStart"/>
      <w:r w:rsidRPr="00C67177">
        <w:rPr>
          <w:rFonts w:ascii="Arial" w:hAnsi="Arial" w:cs="Arial"/>
          <w:sz w:val="24"/>
          <w:szCs w:val="24"/>
        </w:rPr>
        <w:t>guide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to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modern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databases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and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the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NoSQL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177">
        <w:rPr>
          <w:rFonts w:ascii="Arial" w:hAnsi="Arial" w:cs="Arial"/>
          <w:sz w:val="24"/>
          <w:szCs w:val="24"/>
        </w:rPr>
        <w:t>movement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. 2. ed. Dallas: </w:t>
      </w:r>
      <w:proofErr w:type="spellStart"/>
      <w:r w:rsidRPr="00C67177">
        <w:rPr>
          <w:rFonts w:ascii="Arial" w:hAnsi="Arial" w:cs="Arial"/>
          <w:sz w:val="24"/>
          <w:szCs w:val="24"/>
        </w:rPr>
        <w:t>Pragmatic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Bookshelf, 2012.</w:t>
      </w:r>
      <w:r w:rsidRPr="00C67177">
        <w:rPr>
          <w:rFonts w:ascii="Arial" w:hAnsi="Arial" w:cs="Arial"/>
          <w:sz w:val="24"/>
          <w:szCs w:val="24"/>
        </w:rPr>
        <w:br/>
        <w:t xml:space="preserve">SAVARIS, L. </w:t>
      </w:r>
      <w:proofErr w:type="spellStart"/>
      <w:r w:rsidRPr="00C67177">
        <w:rPr>
          <w:rFonts w:ascii="Arial" w:hAnsi="Arial" w:cs="Arial"/>
          <w:sz w:val="24"/>
          <w:szCs w:val="24"/>
        </w:rPr>
        <w:t>NoSQL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 e Big Data: fundamentos e aplicações. 2. </w:t>
      </w:r>
      <w:proofErr w:type="spellStart"/>
      <w:r w:rsidRPr="00C67177">
        <w:rPr>
          <w:rFonts w:ascii="Arial" w:hAnsi="Arial" w:cs="Arial"/>
          <w:sz w:val="24"/>
          <w:szCs w:val="24"/>
        </w:rPr>
        <w:t>reimp</w:t>
      </w:r>
      <w:proofErr w:type="spellEnd"/>
      <w:r w:rsidRPr="00C67177">
        <w:rPr>
          <w:rFonts w:ascii="Arial" w:hAnsi="Arial" w:cs="Arial"/>
          <w:sz w:val="24"/>
          <w:szCs w:val="24"/>
        </w:rPr>
        <w:t xml:space="preserve">. Curitiba: </w:t>
      </w:r>
      <w:proofErr w:type="spellStart"/>
      <w:r w:rsidRPr="00C67177">
        <w:rPr>
          <w:rFonts w:ascii="Arial" w:hAnsi="Arial" w:cs="Arial"/>
          <w:sz w:val="24"/>
          <w:szCs w:val="24"/>
        </w:rPr>
        <w:t>InterSaberes</w:t>
      </w:r>
      <w:proofErr w:type="spellEnd"/>
      <w:r w:rsidRPr="00C67177">
        <w:rPr>
          <w:rFonts w:ascii="Arial" w:hAnsi="Arial" w:cs="Arial"/>
          <w:sz w:val="24"/>
          <w:szCs w:val="24"/>
        </w:rPr>
        <w:t>, 2025.</w:t>
      </w:r>
    </w:p>
    <w:p w14:paraId="7A1A2A0C" w14:textId="77777777" w:rsidR="004F610E" w:rsidRPr="00C67177" w:rsidRDefault="004F610E" w:rsidP="00C6717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F610E" w:rsidRPr="00C671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1356CD"/>
    <w:multiLevelType w:val="multilevel"/>
    <w:tmpl w:val="730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91FFC"/>
    <w:multiLevelType w:val="multilevel"/>
    <w:tmpl w:val="593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4493B"/>
    <w:multiLevelType w:val="multilevel"/>
    <w:tmpl w:val="435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01"/>
    <w:rsid w:val="004F610E"/>
    <w:rsid w:val="00C67177"/>
    <w:rsid w:val="00CB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09FA0"/>
  <w15:chartTrackingRefBased/>
  <w15:docId w15:val="{456DA392-C2D3-45E3-91E1-10A3FB8F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1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1402</Words>
  <Characters>7577</Characters>
  <Application>Microsoft Office Word</Application>
  <DocSecurity>0</DocSecurity>
  <Lines>63</Lines>
  <Paragraphs>17</Paragraphs>
  <ScaleCrop>false</ScaleCrop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2025-08-30T14:56:00Z</dcterms:created>
  <dcterms:modified xsi:type="dcterms:W3CDTF">2025-08-30T14:59:00Z</dcterms:modified>
</cp:coreProperties>
</file>