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710FA0" w14:textId="77777777" w:rsidR="0091762F" w:rsidRPr="0091762F" w:rsidRDefault="0091762F" w:rsidP="0091762F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91762F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Respostas objetivas</w:t>
      </w:r>
    </w:p>
    <w:p w14:paraId="5371598C" w14:textId="2C3D6F76" w:rsidR="0091762F" w:rsidRPr="0091762F" w:rsidRDefault="0091762F" w:rsidP="0091762F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1762F">
        <w:rPr>
          <w:rFonts w:ascii="Arial" w:eastAsia="Times New Roman" w:hAnsi="Arial" w:cs="Arial"/>
          <w:sz w:val="24"/>
          <w:szCs w:val="24"/>
          <w:lang w:eastAsia="pt-BR"/>
        </w:rPr>
        <w:t>Arquitetura de software é a definição da estrutura de alto nível de um sistema</w:t>
      </w:r>
      <w:r w:rsidR="00EA2A56">
        <w:rPr>
          <w:rFonts w:ascii="Arial" w:eastAsia="Times New Roman" w:hAnsi="Arial" w:cs="Arial"/>
          <w:sz w:val="24"/>
          <w:szCs w:val="24"/>
          <w:lang w:eastAsia="pt-BR"/>
        </w:rPr>
        <w:t xml:space="preserve"> aonde,</w:t>
      </w:r>
      <w:r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 seus componentes, responsabilidades e relacionamentos</w:t>
      </w:r>
      <w:r w:rsidR="00EA2A56">
        <w:rPr>
          <w:rFonts w:ascii="Arial" w:eastAsia="Times New Roman" w:hAnsi="Arial" w:cs="Arial"/>
          <w:sz w:val="24"/>
          <w:szCs w:val="24"/>
          <w:lang w:eastAsia="pt-BR"/>
        </w:rPr>
        <w:t>, nos</w:t>
      </w:r>
      <w:r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 orienta</w:t>
      </w:r>
      <w:r w:rsidR="00EA2A56">
        <w:rPr>
          <w:rFonts w:ascii="Arial" w:eastAsia="Times New Roman" w:hAnsi="Arial" w:cs="Arial"/>
          <w:sz w:val="24"/>
          <w:szCs w:val="24"/>
          <w:lang w:eastAsia="pt-BR"/>
        </w:rPr>
        <w:t xml:space="preserve">m </w:t>
      </w:r>
      <w:r w:rsidR="00EA2A56" w:rsidRPr="00937BEF">
        <w:rPr>
          <w:rFonts w:ascii="Arial" w:eastAsia="Times New Roman" w:hAnsi="Arial" w:cs="Arial"/>
          <w:sz w:val="24"/>
          <w:szCs w:val="24"/>
          <w:lang w:eastAsia="pt-BR"/>
        </w:rPr>
        <w:t>nas</w:t>
      </w:r>
      <w:r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 decisões de evolução ao longo do ciclo de vida (CORRÊA, 2025). Entre as qualidades que sustentam o sucesso de um projeto, destacam-se três que se complementam: primeiro, a escalabilidade, que assegura a capacidade de atender ao crescimento de usuários e dados</w:t>
      </w:r>
      <w:r w:rsidR="00D13C9C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91762F">
        <w:rPr>
          <w:rFonts w:ascii="Arial" w:eastAsia="Times New Roman" w:hAnsi="Arial" w:cs="Arial"/>
          <w:sz w:val="24"/>
          <w:szCs w:val="24"/>
          <w:lang w:eastAsia="pt-BR"/>
        </w:rPr>
        <w:t>preferencialmente pela escalabilidade horizontal, distribuindo carga entre instâncias e isolando falhas; segundo, a modularidade, que organiza o sistema em componentes de alta coesão e baixo acoplamento, criando fronteiras claras que facilitam entendimento, testes e substituição de partes; por fim, a manutenibilidade, que permite evoluir o software com baixo risco e custo, preservando comportamentos já validados. Em conjunto, essas características formam um ciclo virtuoso: a modularidade cria bases para escalar com menos atritos, e a manutenibilidade colhe os frutos de um desenho modular e escalável (CORRÊA, 2025; ANICHE, 2015; MARTIN; MARTIN, 2011).</w:t>
      </w:r>
    </w:p>
    <w:p w14:paraId="3E852368" w14:textId="01F19917" w:rsidR="0091762F" w:rsidRPr="0091762F" w:rsidRDefault="0091762F" w:rsidP="0091762F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1762F">
        <w:rPr>
          <w:rFonts w:ascii="Arial" w:eastAsia="Times New Roman" w:hAnsi="Arial" w:cs="Arial"/>
          <w:sz w:val="24"/>
          <w:szCs w:val="24"/>
          <w:lang w:eastAsia="pt-BR"/>
        </w:rPr>
        <w:t>Arquitetura em camadas: vantagem</w:t>
      </w:r>
      <w:r w:rsidR="00EE62F8">
        <w:rPr>
          <w:rFonts w:ascii="Arial" w:eastAsia="Times New Roman" w:hAnsi="Arial" w:cs="Arial"/>
          <w:sz w:val="24"/>
          <w:szCs w:val="24"/>
          <w:lang w:eastAsia="pt-BR"/>
        </w:rPr>
        <w:t>,</w:t>
      </w:r>
      <w:r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 separação lógica clara e simplicidade operacional de implantação única; desvantagem</w:t>
      </w:r>
      <w:r w:rsidR="00EE62F8">
        <w:rPr>
          <w:rFonts w:ascii="Arial" w:eastAsia="Times New Roman" w:hAnsi="Arial" w:cs="Arial"/>
          <w:sz w:val="24"/>
          <w:szCs w:val="24"/>
          <w:lang w:eastAsia="pt-BR"/>
        </w:rPr>
        <w:t>,</w:t>
      </w:r>
      <w:r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 implantação como bloco único limita a escalabilidade independente e a cadência de mudanças por módulo (CORRÊA, 2025). Arquitetura de </w:t>
      </w:r>
      <w:proofErr w:type="spellStart"/>
      <w:r w:rsidRPr="0091762F">
        <w:rPr>
          <w:rFonts w:ascii="Arial" w:eastAsia="Times New Roman" w:hAnsi="Arial" w:cs="Arial"/>
          <w:sz w:val="24"/>
          <w:szCs w:val="24"/>
          <w:lang w:eastAsia="pt-BR"/>
        </w:rPr>
        <w:t>microsserviços</w:t>
      </w:r>
      <w:proofErr w:type="spellEnd"/>
      <w:r w:rsidRPr="0091762F">
        <w:rPr>
          <w:rFonts w:ascii="Arial" w:eastAsia="Times New Roman" w:hAnsi="Arial" w:cs="Arial"/>
          <w:sz w:val="24"/>
          <w:szCs w:val="24"/>
          <w:lang w:eastAsia="pt-BR"/>
        </w:rPr>
        <w:t>: vantagem</w:t>
      </w:r>
      <w:r w:rsidR="00EE62F8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91762F">
        <w:rPr>
          <w:rFonts w:ascii="Arial" w:eastAsia="Times New Roman" w:hAnsi="Arial" w:cs="Arial"/>
          <w:sz w:val="24"/>
          <w:szCs w:val="24"/>
          <w:lang w:eastAsia="pt-BR"/>
        </w:rPr>
        <w:t>escalabilidade granular por domínio e autonomia de equipes; desvantagem</w:t>
      </w:r>
      <w:r w:rsidR="00EE62F8">
        <w:rPr>
          <w:rFonts w:ascii="Arial" w:eastAsia="Times New Roman" w:hAnsi="Arial" w:cs="Arial"/>
          <w:sz w:val="24"/>
          <w:szCs w:val="24"/>
          <w:lang w:eastAsia="pt-BR"/>
        </w:rPr>
        <w:t>,</w:t>
      </w:r>
      <w:r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 maior complexidade operacional (orquestração, mensageria, </w:t>
      </w:r>
      <w:proofErr w:type="spellStart"/>
      <w:r w:rsidRPr="0091762F">
        <w:rPr>
          <w:rFonts w:ascii="Arial" w:eastAsia="Times New Roman" w:hAnsi="Arial" w:cs="Arial"/>
          <w:sz w:val="24"/>
          <w:szCs w:val="24"/>
          <w:lang w:eastAsia="pt-BR"/>
        </w:rPr>
        <w:t>observabilidade</w:t>
      </w:r>
      <w:proofErr w:type="spellEnd"/>
      <w:r w:rsidRPr="0091762F">
        <w:rPr>
          <w:rFonts w:ascii="Arial" w:eastAsia="Times New Roman" w:hAnsi="Arial" w:cs="Arial"/>
          <w:sz w:val="24"/>
          <w:szCs w:val="24"/>
          <w:lang w:eastAsia="pt-BR"/>
        </w:rPr>
        <w:t>) e desafios de consistência e latência entre serviços (CORRÊA, 2025). Em transições, um monólito modular pode servir como etapa intermediária (MARTIN, 2009).</w:t>
      </w:r>
    </w:p>
    <w:p w14:paraId="14AC1491" w14:textId="77777777" w:rsidR="0091762F" w:rsidRPr="0091762F" w:rsidRDefault="0091762F" w:rsidP="0091762F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Para um e-commerce com milhões de usuários e alta disponibilidade, eu escolheria </w:t>
      </w:r>
      <w:proofErr w:type="spellStart"/>
      <w:r w:rsidRPr="0091762F">
        <w:rPr>
          <w:rFonts w:ascii="Arial" w:eastAsia="Times New Roman" w:hAnsi="Arial" w:cs="Arial"/>
          <w:sz w:val="24"/>
          <w:szCs w:val="24"/>
          <w:lang w:eastAsia="pt-BR"/>
        </w:rPr>
        <w:t>microsserviços</w:t>
      </w:r>
      <w:proofErr w:type="spellEnd"/>
      <w:r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. A decomposição por domínios (catálogo, carrinho, pedidos, pagamentos) permite escalar seletivamente e isolar falhas; filas e </w:t>
      </w:r>
      <w:proofErr w:type="spellStart"/>
      <w:r w:rsidRPr="0091762F">
        <w:rPr>
          <w:rFonts w:ascii="Arial" w:eastAsia="Times New Roman" w:hAnsi="Arial" w:cs="Arial"/>
          <w:sz w:val="24"/>
          <w:szCs w:val="24"/>
          <w:lang w:eastAsia="pt-BR"/>
        </w:rPr>
        <w:t>streams</w:t>
      </w:r>
      <w:proofErr w:type="spellEnd"/>
      <w:r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 de eventos (mensageria) desacoplam fluxos críticos e viabilizam processamento assíncrono, suavizando picos de carga (CORRÊA, 2025). Quanto à infraestrutura, nuvem pública é vantajosa pela elasticidade rápida, serviços gerenciados e presença global; nuvem </w:t>
      </w:r>
      <w:r w:rsidRPr="0091762F">
        <w:rPr>
          <w:rFonts w:ascii="Arial" w:eastAsia="Times New Roman" w:hAnsi="Arial" w:cs="Arial"/>
          <w:sz w:val="24"/>
          <w:szCs w:val="24"/>
          <w:lang w:eastAsia="pt-BR"/>
        </w:rPr>
        <w:lastRenderedPageBreak/>
        <w:t>privada oferece controle fino e pode compor estratégia híbrida para cargas sensíveis. Em qualquer modelo, recomenda-se redundância entre zonas/regiões, verificações automáticas de saúde (</w:t>
      </w:r>
      <w:proofErr w:type="spellStart"/>
      <w:r w:rsidRPr="0091762F">
        <w:rPr>
          <w:rFonts w:ascii="Arial" w:eastAsia="Times New Roman" w:hAnsi="Arial" w:cs="Arial"/>
          <w:sz w:val="24"/>
          <w:szCs w:val="24"/>
          <w:lang w:eastAsia="pt-BR"/>
        </w:rPr>
        <w:t>health</w:t>
      </w:r>
      <w:proofErr w:type="spellEnd"/>
      <w:r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91762F">
        <w:rPr>
          <w:rFonts w:ascii="Arial" w:eastAsia="Times New Roman" w:hAnsi="Arial" w:cs="Arial"/>
          <w:sz w:val="24"/>
          <w:szCs w:val="24"/>
          <w:lang w:eastAsia="pt-BR"/>
        </w:rPr>
        <w:t>checks</w:t>
      </w:r>
      <w:proofErr w:type="spellEnd"/>
      <w:r w:rsidRPr="0091762F">
        <w:rPr>
          <w:rFonts w:ascii="Arial" w:eastAsia="Times New Roman" w:hAnsi="Arial" w:cs="Arial"/>
          <w:sz w:val="24"/>
          <w:szCs w:val="24"/>
          <w:lang w:eastAsia="pt-BR"/>
        </w:rPr>
        <w:t>), disjuntor lógico (</w:t>
      </w:r>
      <w:proofErr w:type="spellStart"/>
      <w:r w:rsidRPr="0091762F">
        <w:rPr>
          <w:rFonts w:ascii="Arial" w:eastAsia="Times New Roman" w:hAnsi="Arial" w:cs="Arial"/>
          <w:sz w:val="24"/>
          <w:szCs w:val="24"/>
          <w:lang w:eastAsia="pt-BR"/>
        </w:rPr>
        <w:t>circuit</w:t>
      </w:r>
      <w:proofErr w:type="spellEnd"/>
      <w:r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91762F">
        <w:rPr>
          <w:rFonts w:ascii="Arial" w:eastAsia="Times New Roman" w:hAnsi="Arial" w:cs="Arial"/>
          <w:sz w:val="24"/>
          <w:szCs w:val="24"/>
          <w:lang w:eastAsia="pt-BR"/>
        </w:rPr>
        <w:t>breaker</w:t>
      </w:r>
      <w:proofErr w:type="spellEnd"/>
      <w:r w:rsidRPr="0091762F">
        <w:rPr>
          <w:rFonts w:ascii="Arial" w:eastAsia="Times New Roman" w:hAnsi="Arial" w:cs="Arial"/>
          <w:sz w:val="24"/>
          <w:szCs w:val="24"/>
          <w:lang w:eastAsia="pt-BR"/>
        </w:rPr>
        <w:t>) e novas tentativas com intervalos crescentes (</w:t>
      </w:r>
      <w:proofErr w:type="spellStart"/>
      <w:r w:rsidRPr="0091762F">
        <w:rPr>
          <w:rFonts w:ascii="Arial" w:eastAsia="Times New Roman" w:hAnsi="Arial" w:cs="Arial"/>
          <w:sz w:val="24"/>
          <w:szCs w:val="24"/>
          <w:lang w:eastAsia="pt-BR"/>
        </w:rPr>
        <w:t>retry</w:t>
      </w:r>
      <w:proofErr w:type="spellEnd"/>
      <w:r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 com </w:t>
      </w:r>
      <w:proofErr w:type="spellStart"/>
      <w:r w:rsidRPr="0091762F">
        <w:rPr>
          <w:rFonts w:ascii="Arial" w:eastAsia="Times New Roman" w:hAnsi="Arial" w:cs="Arial"/>
          <w:sz w:val="24"/>
          <w:szCs w:val="24"/>
          <w:lang w:eastAsia="pt-BR"/>
        </w:rPr>
        <w:t>backoff</w:t>
      </w:r>
      <w:proofErr w:type="spellEnd"/>
      <w:r w:rsidRPr="0091762F">
        <w:rPr>
          <w:rFonts w:ascii="Arial" w:eastAsia="Times New Roman" w:hAnsi="Arial" w:cs="Arial"/>
          <w:sz w:val="24"/>
          <w:szCs w:val="24"/>
          <w:lang w:eastAsia="pt-BR"/>
        </w:rPr>
        <w:t>) para sustentar alta disponibilidade (CORRÊA, 2025).</w:t>
      </w:r>
    </w:p>
    <w:p w14:paraId="44D99310" w14:textId="222F732D" w:rsidR="0091762F" w:rsidRPr="0091762F" w:rsidRDefault="0091762F" w:rsidP="0091762F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91762F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Fundamentação</w:t>
      </w:r>
      <w:r w:rsidR="00E527CF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 xml:space="preserve"> Teórica</w:t>
      </w:r>
    </w:p>
    <w:p w14:paraId="69EBB3D6" w14:textId="77777777" w:rsidR="0091762F" w:rsidRPr="0091762F" w:rsidRDefault="0091762F" w:rsidP="00E527CF">
      <w:pPr>
        <w:spacing w:before="100" w:beforeAutospacing="1" w:after="100" w:afterAutospacing="1" w:line="36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1762F">
        <w:rPr>
          <w:rFonts w:ascii="Arial" w:eastAsia="Times New Roman" w:hAnsi="Arial" w:cs="Arial"/>
          <w:sz w:val="24"/>
          <w:szCs w:val="24"/>
          <w:lang w:eastAsia="pt-BR"/>
        </w:rPr>
        <w:t>O desenvolvimento de software contemporâneo exige que empresas projetem sistemas cada vez mais complexos, escaláveis e resilientes. A arquitetura de software, nesse contexto, não é apenas um conjunto de diagramas, mas a definição da estrutura de alto nível do sistema e das regras que guiarão a sua evolução ao longo do tempo. Como destaca Corrêa (2025), a escolha arquitetural impacta diretamente a escalabilidade, a manutenibilidade e o custo de evolução dos sistemas. Uma decisão equivocada nessa etapa pode levar a aplicações rígidas, difíceis de manter e de alto custo, enquanto uma arquitetura bem estruturada promove paralelismo no desenvolvimento, melhor utilização da infraestrutura e capacidade de adaptação às mudanças de negócio (CORRÊA, 2025).</w:t>
      </w:r>
    </w:p>
    <w:p w14:paraId="125F0F95" w14:textId="14096F03" w:rsidR="0091762F" w:rsidRPr="0091762F" w:rsidRDefault="0091762F" w:rsidP="00455DCC">
      <w:pPr>
        <w:spacing w:before="100" w:beforeAutospacing="1" w:after="100" w:afterAutospacing="1" w:line="36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Historicamente, arquiteturas evoluíram de monólitos executados em mainframes, altamente centralizados e verticalmente escaláveis, para sistemas distribuídos e orientados a </w:t>
      </w:r>
      <w:proofErr w:type="spellStart"/>
      <w:r w:rsidRPr="0091762F">
        <w:rPr>
          <w:rFonts w:ascii="Arial" w:eastAsia="Times New Roman" w:hAnsi="Arial" w:cs="Arial"/>
          <w:sz w:val="24"/>
          <w:szCs w:val="24"/>
          <w:lang w:eastAsia="pt-BR"/>
        </w:rPr>
        <w:t>microsserviços</w:t>
      </w:r>
      <w:proofErr w:type="spellEnd"/>
      <w:r w:rsidRPr="0091762F">
        <w:rPr>
          <w:rFonts w:ascii="Arial" w:eastAsia="Times New Roman" w:hAnsi="Arial" w:cs="Arial"/>
          <w:sz w:val="24"/>
          <w:szCs w:val="24"/>
          <w:lang w:eastAsia="pt-BR"/>
        </w:rPr>
        <w:t>, baseados em escalabilidade horizontal e execução em clusters. Essa evolução se conecta à transição tecnológica</w:t>
      </w:r>
      <w:r w:rsidR="00455DCC">
        <w:rPr>
          <w:rFonts w:ascii="Arial" w:eastAsia="Times New Roman" w:hAnsi="Arial" w:cs="Arial"/>
          <w:sz w:val="24"/>
          <w:szCs w:val="24"/>
          <w:lang w:eastAsia="pt-BR"/>
        </w:rPr>
        <w:t>,</w:t>
      </w:r>
      <w:r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 do modelo de computação centralizada em grandes mainframes ao paradigma da computação em nuvem (cloud </w:t>
      </w:r>
      <w:proofErr w:type="spellStart"/>
      <w:r w:rsidRPr="0091762F">
        <w:rPr>
          <w:rFonts w:ascii="Arial" w:eastAsia="Times New Roman" w:hAnsi="Arial" w:cs="Arial"/>
          <w:sz w:val="24"/>
          <w:szCs w:val="24"/>
          <w:lang w:eastAsia="pt-BR"/>
        </w:rPr>
        <w:t>computing</w:t>
      </w:r>
      <w:proofErr w:type="spellEnd"/>
      <w:r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), em que soluções como </w:t>
      </w:r>
      <w:proofErr w:type="spellStart"/>
      <w:r w:rsidRPr="0091762F">
        <w:rPr>
          <w:rFonts w:ascii="Arial" w:eastAsia="Times New Roman" w:hAnsi="Arial" w:cs="Arial"/>
          <w:sz w:val="24"/>
          <w:szCs w:val="24"/>
          <w:lang w:eastAsia="pt-BR"/>
        </w:rPr>
        <w:t>Proxmox</w:t>
      </w:r>
      <w:proofErr w:type="spellEnd"/>
      <w:r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91762F">
        <w:rPr>
          <w:rFonts w:ascii="Arial" w:eastAsia="Times New Roman" w:hAnsi="Arial" w:cs="Arial"/>
          <w:sz w:val="24"/>
          <w:szCs w:val="24"/>
          <w:lang w:eastAsia="pt-BR"/>
        </w:rPr>
        <w:t>OpenStack</w:t>
      </w:r>
      <w:proofErr w:type="spellEnd"/>
      <w:r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 (plataforma de nuvem privada) e </w:t>
      </w:r>
      <w:proofErr w:type="spellStart"/>
      <w:r w:rsidRPr="0091762F">
        <w:rPr>
          <w:rFonts w:ascii="Arial" w:eastAsia="Times New Roman" w:hAnsi="Arial" w:cs="Arial"/>
          <w:sz w:val="24"/>
          <w:szCs w:val="24"/>
          <w:lang w:eastAsia="pt-BR"/>
        </w:rPr>
        <w:t>Kubernetes</w:t>
      </w:r>
      <w:proofErr w:type="spellEnd"/>
      <w:r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 (orquestrador de containers) são empregadas para oferecer virtualização, orquestração e elasticidade (CORRÊA, 2025). Nesse percurso, princípios de engenharia como SOLID e padrões de projeto </w:t>
      </w:r>
      <w:proofErr w:type="spellStart"/>
      <w:r w:rsidRPr="0091762F">
        <w:rPr>
          <w:rFonts w:ascii="Arial" w:eastAsia="Times New Roman" w:hAnsi="Arial" w:cs="Arial"/>
          <w:sz w:val="24"/>
          <w:szCs w:val="24"/>
          <w:lang w:eastAsia="pt-BR"/>
        </w:rPr>
        <w:t>GoF</w:t>
      </w:r>
      <w:proofErr w:type="spellEnd"/>
      <w:r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 tornaram-se fundamentais para modularidade, desacoplamento e reuso (GAMMA et al., 1995; ANICHE, 2015).</w:t>
      </w:r>
    </w:p>
    <w:p w14:paraId="63E57DC0" w14:textId="77777777" w:rsidR="0091762F" w:rsidRPr="0091762F" w:rsidRDefault="0091762F" w:rsidP="00455DCC">
      <w:pPr>
        <w:spacing w:before="100" w:beforeAutospacing="1" w:after="100" w:afterAutospacing="1" w:line="360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De acordo com Corrêa (2025), a arquitetura de software define a estrutura macro do sistema, como os componentes se relacionam e quais </w:t>
      </w:r>
      <w:r w:rsidRPr="0091762F">
        <w:rPr>
          <w:rFonts w:ascii="Arial" w:eastAsia="Times New Roman" w:hAnsi="Arial" w:cs="Arial"/>
          <w:sz w:val="24"/>
          <w:szCs w:val="24"/>
          <w:lang w:eastAsia="pt-BR"/>
        </w:rPr>
        <w:lastRenderedPageBreak/>
        <w:t>responsabilidades cabem a cada parte, servindo de base para decisões de evolução ao longo do ciclo de vida. Nesse contexto, três características funcionam de maneira encadeada:</w:t>
      </w:r>
    </w:p>
    <w:p w14:paraId="7616188C" w14:textId="77777777" w:rsidR="0091762F" w:rsidRPr="0091762F" w:rsidRDefault="0091762F" w:rsidP="004A6F3B">
      <w:pPr>
        <w:spacing w:before="100" w:beforeAutospacing="1" w:after="100" w:afterAutospacing="1" w:line="360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1762F">
        <w:rPr>
          <w:rFonts w:ascii="Arial" w:eastAsia="Times New Roman" w:hAnsi="Arial" w:cs="Arial"/>
          <w:sz w:val="24"/>
          <w:szCs w:val="24"/>
          <w:lang w:eastAsia="pt-BR"/>
        </w:rPr>
        <w:t>Escalabilidade: capacidade de lidar com crescimento de carga verticalmente (mais recursos em um nó) ou horizontalmente (</w:t>
      </w:r>
      <w:proofErr w:type="gramStart"/>
      <w:r w:rsidRPr="0091762F">
        <w:rPr>
          <w:rFonts w:ascii="Arial" w:eastAsia="Times New Roman" w:hAnsi="Arial" w:cs="Arial"/>
          <w:sz w:val="24"/>
          <w:szCs w:val="24"/>
          <w:lang w:eastAsia="pt-BR"/>
        </w:rPr>
        <w:t>mais</w:t>
      </w:r>
      <w:proofErr w:type="gramEnd"/>
      <w:r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 nós/instâncias). Nas arquiteturas modernas, privilegia-se a escalabilidade horizontal por distribuir a carga e facilitar o isolamento de falhas (CORRÊA, 2025).</w:t>
      </w:r>
    </w:p>
    <w:p w14:paraId="48B89EFB" w14:textId="77777777" w:rsidR="0091762F" w:rsidRPr="0091762F" w:rsidRDefault="0091762F" w:rsidP="004A6F3B">
      <w:pPr>
        <w:spacing w:before="100" w:beforeAutospacing="1" w:after="100" w:afterAutospacing="1" w:line="360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1762F">
        <w:rPr>
          <w:rFonts w:ascii="Arial" w:eastAsia="Times New Roman" w:hAnsi="Arial" w:cs="Arial"/>
          <w:sz w:val="24"/>
          <w:szCs w:val="24"/>
          <w:lang w:eastAsia="pt-BR"/>
        </w:rPr>
        <w:t>Modularidade: decomposição em componentes de alta coesão e baixo acoplamento, estabelecendo fronteiras explícitas que, além de facilitar entendimento e testes, preparam o terreno para estratégias de escalabilidade seletiva (ANICHE, 2015).</w:t>
      </w:r>
    </w:p>
    <w:p w14:paraId="6DB7E137" w14:textId="77777777" w:rsidR="0091762F" w:rsidRPr="0091762F" w:rsidRDefault="0091762F" w:rsidP="004A6F3B">
      <w:pPr>
        <w:spacing w:before="100" w:beforeAutospacing="1" w:after="100" w:afterAutospacing="1" w:line="360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1762F">
        <w:rPr>
          <w:rFonts w:ascii="Arial" w:eastAsia="Times New Roman" w:hAnsi="Arial" w:cs="Arial"/>
          <w:sz w:val="24"/>
          <w:szCs w:val="24"/>
          <w:lang w:eastAsia="pt-BR"/>
        </w:rPr>
        <w:t>Manutenibilidade: facilidade de modificar, estender e corrigir o sistema com risco controlado e custo reduzido. Ao apoiar-se em fronteiras modulares bem definidas, a evolução ocorre por extensão e substituição, preservando comportamentos já validados (MARTIN; MARTIN, 2011).</w:t>
      </w:r>
    </w:p>
    <w:p w14:paraId="4247F99C" w14:textId="77777777" w:rsidR="0091762F" w:rsidRPr="0091762F" w:rsidRDefault="0091762F" w:rsidP="004A6F3B">
      <w:pPr>
        <w:spacing w:before="100" w:beforeAutospacing="1" w:after="100" w:afterAutospacing="1" w:line="360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1762F">
        <w:rPr>
          <w:rFonts w:ascii="Arial" w:eastAsia="Times New Roman" w:hAnsi="Arial" w:cs="Arial"/>
          <w:sz w:val="24"/>
          <w:szCs w:val="24"/>
          <w:lang w:eastAsia="pt-BR"/>
        </w:rPr>
        <w:t>Em síntese, modularidade viabiliza escalabilidade com menos atritos, e ambas sustentam a manutenibilidade ao longo do ciclo de vida (CORRÊA, 2025).</w:t>
      </w:r>
    </w:p>
    <w:p w14:paraId="5E3FAE9C" w14:textId="77777777" w:rsidR="0091762F" w:rsidRPr="0091762F" w:rsidRDefault="0091762F" w:rsidP="004A6F3B">
      <w:pPr>
        <w:spacing w:before="100" w:beforeAutospacing="1" w:after="100" w:afterAutospacing="1" w:line="360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Complementarmente, padrões </w:t>
      </w:r>
      <w:proofErr w:type="spellStart"/>
      <w:r w:rsidRPr="0091762F">
        <w:rPr>
          <w:rFonts w:ascii="Arial" w:eastAsia="Times New Roman" w:hAnsi="Arial" w:cs="Arial"/>
          <w:sz w:val="24"/>
          <w:szCs w:val="24"/>
          <w:lang w:eastAsia="pt-BR"/>
        </w:rPr>
        <w:t>GoF</w:t>
      </w:r>
      <w:proofErr w:type="spellEnd"/>
      <w:r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 aumentam robustez arquitetural: por exemplo, Provedor intermediário (Proxy) para controle de acesso/otimização de chamadas, e uso do padrão Observador (</w:t>
      </w:r>
      <w:proofErr w:type="spellStart"/>
      <w:r w:rsidRPr="0091762F">
        <w:rPr>
          <w:rFonts w:ascii="Arial" w:eastAsia="Times New Roman" w:hAnsi="Arial" w:cs="Arial"/>
          <w:sz w:val="24"/>
          <w:szCs w:val="24"/>
          <w:lang w:eastAsia="pt-BR"/>
        </w:rPr>
        <w:t>Observer</w:t>
      </w:r>
      <w:proofErr w:type="spellEnd"/>
      <w:r w:rsidRPr="0091762F">
        <w:rPr>
          <w:rFonts w:ascii="Arial" w:eastAsia="Times New Roman" w:hAnsi="Arial" w:cs="Arial"/>
          <w:sz w:val="24"/>
          <w:szCs w:val="24"/>
          <w:lang w:eastAsia="pt-BR"/>
        </w:rPr>
        <w:t>) para notificação assíncrona entre componentes com baixo acoplamento (GAMMA et al., 1995; MATOS; BARBOSA, 2016).</w:t>
      </w:r>
    </w:p>
    <w:p w14:paraId="4C1A87D0" w14:textId="77777777" w:rsidR="0091762F" w:rsidRPr="0091762F" w:rsidRDefault="0091762F" w:rsidP="004A6F3B">
      <w:pPr>
        <w:spacing w:before="100" w:beforeAutospacing="1" w:after="100" w:afterAutospacing="1" w:line="360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1762F">
        <w:rPr>
          <w:rFonts w:ascii="Arial" w:eastAsia="Times New Roman" w:hAnsi="Arial" w:cs="Arial"/>
          <w:sz w:val="24"/>
          <w:szCs w:val="24"/>
          <w:lang w:eastAsia="pt-BR"/>
        </w:rPr>
        <w:t>A arquitetura monolítica concentra interface, regras de negócio e persistência em um único artefato. A vantagem é a simplicidade de implantação e transações consistentes locais; a desvantagem é a rigidez para escalar partes específicas, exigindo replicar todo o artefato (CORRÊA, 2025).</w:t>
      </w:r>
    </w:p>
    <w:p w14:paraId="30D91B0B" w14:textId="77777777" w:rsidR="0091762F" w:rsidRPr="0091762F" w:rsidRDefault="0091762F" w:rsidP="004A6F3B">
      <w:pPr>
        <w:spacing w:before="100" w:beforeAutospacing="1" w:after="100" w:afterAutospacing="1" w:line="360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A arquitetura em camadas introduz separação entre apresentação, negócio e dados, favorecendo organização e separação de responsabilidades. Ainda </w:t>
      </w:r>
      <w:r w:rsidRPr="0091762F">
        <w:rPr>
          <w:rFonts w:ascii="Arial" w:eastAsia="Times New Roman" w:hAnsi="Arial" w:cs="Arial"/>
          <w:sz w:val="24"/>
          <w:szCs w:val="24"/>
          <w:lang w:eastAsia="pt-BR"/>
        </w:rPr>
        <w:lastRenderedPageBreak/>
        <w:t>assim, costuma ser implantada como bloco único, herdando limitações de escalabilidade e independência de mudanças do monólito (CORRÊA, 2025).</w:t>
      </w:r>
    </w:p>
    <w:p w14:paraId="13EF3EBB" w14:textId="77777777" w:rsidR="0091762F" w:rsidRPr="0091762F" w:rsidRDefault="0091762F" w:rsidP="004A6F3B">
      <w:pPr>
        <w:spacing w:before="100" w:beforeAutospacing="1" w:after="100" w:afterAutospacing="1" w:line="360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Com o aumento de requisitos distribuídos, </w:t>
      </w:r>
      <w:proofErr w:type="spellStart"/>
      <w:r w:rsidRPr="0091762F">
        <w:rPr>
          <w:rFonts w:ascii="Arial" w:eastAsia="Times New Roman" w:hAnsi="Arial" w:cs="Arial"/>
          <w:sz w:val="24"/>
          <w:szCs w:val="24"/>
          <w:lang w:eastAsia="pt-BR"/>
        </w:rPr>
        <w:t>microsserviços</w:t>
      </w:r>
      <w:proofErr w:type="spellEnd"/>
      <w:r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 decompõem o sistema em serviços independentes por domínio. Ganha-se escalabilidade granular e autonomia de equipes, mas aumenta a complexidade operacional: orquestração, mensageria (troca assíncrona de mensagens), </w:t>
      </w:r>
      <w:proofErr w:type="spellStart"/>
      <w:r w:rsidRPr="0091762F">
        <w:rPr>
          <w:rFonts w:ascii="Arial" w:eastAsia="Times New Roman" w:hAnsi="Arial" w:cs="Arial"/>
          <w:sz w:val="24"/>
          <w:szCs w:val="24"/>
          <w:lang w:eastAsia="pt-BR"/>
        </w:rPr>
        <w:t>observabilidade</w:t>
      </w:r>
      <w:proofErr w:type="spellEnd"/>
      <w:r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 e desafios de consistência/latência entre serviços (CORRÊA, 2025).</w:t>
      </w:r>
    </w:p>
    <w:p w14:paraId="5C463538" w14:textId="77777777" w:rsidR="0091762F" w:rsidRPr="0091762F" w:rsidRDefault="0091762F" w:rsidP="004A6F3B">
      <w:pPr>
        <w:spacing w:before="100" w:beforeAutospacing="1" w:after="100" w:afterAutospacing="1" w:line="360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1762F">
        <w:rPr>
          <w:rFonts w:ascii="Arial" w:eastAsia="Times New Roman" w:hAnsi="Arial" w:cs="Arial"/>
          <w:sz w:val="24"/>
          <w:szCs w:val="24"/>
          <w:lang w:eastAsia="pt-BR"/>
        </w:rPr>
        <w:t>Entre os extremos, o monólito modular combina simplicidade de implantação com isolamento interno de módulos, útil como etapa intermediária para evitar distribuição prematura quando o domínio ainda não está claro (MARTIN, 2009).</w:t>
      </w:r>
    </w:p>
    <w:p w14:paraId="0C748268" w14:textId="77777777" w:rsidR="0091762F" w:rsidRPr="0091762F" w:rsidRDefault="0091762F" w:rsidP="004A6F3B">
      <w:pPr>
        <w:spacing w:before="100" w:beforeAutospacing="1" w:after="100" w:afterAutospacing="1" w:line="360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1762F">
        <w:rPr>
          <w:rFonts w:ascii="Arial" w:eastAsia="Times New Roman" w:hAnsi="Arial" w:cs="Arial"/>
          <w:sz w:val="24"/>
          <w:szCs w:val="24"/>
          <w:lang w:eastAsia="pt-BR"/>
        </w:rPr>
        <w:t>Além de nuvem privada, é relevante considerar nuvem pública e abordagens híbridas no contexto de implantação de sistemas (CORRÊA, 2025).</w:t>
      </w:r>
    </w:p>
    <w:p w14:paraId="6CBB9A2F" w14:textId="101AF480" w:rsidR="0091762F" w:rsidRPr="0091762F" w:rsidRDefault="0091762F" w:rsidP="004A6F3B">
      <w:pPr>
        <w:spacing w:before="100" w:beforeAutospacing="1" w:after="100" w:afterAutospacing="1" w:line="360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1762F">
        <w:rPr>
          <w:rFonts w:ascii="Arial" w:eastAsia="Times New Roman" w:hAnsi="Arial" w:cs="Arial"/>
          <w:sz w:val="24"/>
          <w:szCs w:val="24"/>
          <w:lang w:eastAsia="pt-BR"/>
        </w:rPr>
        <w:t>Nuve</w:t>
      </w:r>
      <w:r w:rsidR="004A6F3B">
        <w:rPr>
          <w:rFonts w:ascii="Arial" w:eastAsia="Times New Roman" w:hAnsi="Arial" w:cs="Arial"/>
          <w:sz w:val="24"/>
          <w:szCs w:val="24"/>
          <w:lang w:eastAsia="pt-BR"/>
        </w:rPr>
        <w:t>ns</w:t>
      </w:r>
      <w:r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 pública</w:t>
      </w:r>
      <w:r w:rsidR="004A6F3B">
        <w:rPr>
          <w:rFonts w:ascii="Arial" w:eastAsia="Times New Roman" w:hAnsi="Arial" w:cs="Arial"/>
          <w:sz w:val="24"/>
          <w:szCs w:val="24"/>
          <w:lang w:eastAsia="pt-BR"/>
        </w:rPr>
        <w:t>, como AWS, Azure e Google Cloud, possuem</w:t>
      </w:r>
      <w:r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 recursos de computação, rede e armazenamento fornecidos por provedores externos, com provisionamento sob demanda e presença global. </w:t>
      </w:r>
      <w:r w:rsidR="004A6F3B">
        <w:rPr>
          <w:rFonts w:ascii="Arial" w:eastAsia="Times New Roman" w:hAnsi="Arial" w:cs="Arial"/>
          <w:sz w:val="24"/>
          <w:szCs w:val="24"/>
          <w:lang w:eastAsia="pt-BR"/>
        </w:rPr>
        <w:t>Entre seus benefícios se encontram a</w:t>
      </w:r>
      <w:r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 elasticidade rápida, ampla oferta de serviços gerenciados (bancos, filas/</w:t>
      </w:r>
      <w:proofErr w:type="spellStart"/>
      <w:r w:rsidRPr="0091762F">
        <w:rPr>
          <w:rFonts w:ascii="Arial" w:eastAsia="Times New Roman" w:hAnsi="Arial" w:cs="Arial"/>
          <w:sz w:val="24"/>
          <w:szCs w:val="24"/>
          <w:lang w:eastAsia="pt-BR"/>
        </w:rPr>
        <w:t>streams</w:t>
      </w:r>
      <w:proofErr w:type="spellEnd"/>
      <w:r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, cache, CDN) e redução de tempo de entrega. </w:t>
      </w:r>
      <w:r w:rsidR="004A6F3B">
        <w:rPr>
          <w:rFonts w:ascii="Arial" w:eastAsia="Times New Roman" w:hAnsi="Arial" w:cs="Arial"/>
          <w:sz w:val="24"/>
          <w:szCs w:val="24"/>
          <w:lang w:eastAsia="pt-BR"/>
        </w:rPr>
        <w:t xml:space="preserve">Alguns desafios norteiam a sua utilização como a </w:t>
      </w:r>
      <w:r w:rsidRPr="0091762F">
        <w:rPr>
          <w:rFonts w:ascii="Arial" w:eastAsia="Times New Roman" w:hAnsi="Arial" w:cs="Arial"/>
          <w:sz w:val="24"/>
          <w:szCs w:val="24"/>
          <w:lang w:eastAsia="pt-BR"/>
        </w:rPr>
        <w:t>gestão de custos variáveis, risco de dependência de fornecedor (</w:t>
      </w:r>
      <w:proofErr w:type="spellStart"/>
      <w:r w:rsidRPr="0091762F">
        <w:rPr>
          <w:rFonts w:ascii="Arial" w:eastAsia="Times New Roman" w:hAnsi="Arial" w:cs="Arial"/>
          <w:sz w:val="24"/>
          <w:szCs w:val="24"/>
          <w:lang w:eastAsia="pt-BR"/>
        </w:rPr>
        <w:t>lock</w:t>
      </w:r>
      <w:proofErr w:type="spellEnd"/>
      <w:r w:rsidRPr="0091762F">
        <w:rPr>
          <w:rFonts w:ascii="Arial" w:eastAsia="Times New Roman" w:hAnsi="Arial" w:cs="Arial"/>
          <w:sz w:val="24"/>
          <w:szCs w:val="24"/>
          <w:lang w:eastAsia="pt-BR"/>
        </w:rPr>
        <w:t>-in) e necessidade de configuração rigorosa de segurança e conformidade (responsabilidade compartilhada) (CORRÊA, 2025).</w:t>
      </w:r>
    </w:p>
    <w:p w14:paraId="7416E512" w14:textId="459BB1FC" w:rsidR="0091762F" w:rsidRPr="0091762F" w:rsidRDefault="0091762F" w:rsidP="003146FD">
      <w:pPr>
        <w:spacing w:before="100" w:beforeAutospacing="1" w:after="100" w:afterAutospacing="1" w:line="360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1762F">
        <w:rPr>
          <w:rFonts w:ascii="Arial" w:eastAsia="Times New Roman" w:hAnsi="Arial" w:cs="Arial"/>
          <w:sz w:val="24"/>
          <w:szCs w:val="24"/>
          <w:lang w:eastAsia="pt-BR"/>
        </w:rPr>
        <w:t>Nuvem privada</w:t>
      </w:r>
      <w:r w:rsidR="003146FD">
        <w:rPr>
          <w:rFonts w:ascii="Arial" w:eastAsia="Times New Roman" w:hAnsi="Arial" w:cs="Arial"/>
          <w:sz w:val="24"/>
          <w:szCs w:val="24"/>
          <w:lang w:eastAsia="pt-BR"/>
        </w:rPr>
        <w:t xml:space="preserve"> consiste em </w:t>
      </w:r>
      <w:r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infraestrutura dedicada, operada pela própria organização ou parceiro, com plataformas como </w:t>
      </w:r>
      <w:proofErr w:type="spellStart"/>
      <w:r w:rsidRPr="0091762F">
        <w:rPr>
          <w:rFonts w:ascii="Arial" w:eastAsia="Times New Roman" w:hAnsi="Arial" w:cs="Arial"/>
          <w:sz w:val="24"/>
          <w:szCs w:val="24"/>
          <w:lang w:eastAsia="pt-BR"/>
        </w:rPr>
        <w:t>OpenStack</w:t>
      </w:r>
      <w:proofErr w:type="spellEnd"/>
      <w:r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proofErr w:type="spellStart"/>
      <w:r w:rsidRPr="0091762F">
        <w:rPr>
          <w:rFonts w:ascii="Arial" w:eastAsia="Times New Roman" w:hAnsi="Arial" w:cs="Arial"/>
          <w:sz w:val="24"/>
          <w:szCs w:val="24"/>
          <w:lang w:eastAsia="pt-BR"/>
        </w:rPr>
        <w:t>virtualizadores</w:t>
      </w:r>
      <w:proofErr w:type="spellEnd"/>
      <w:r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 como </w:t>
      </w:r>
      <w:proofErr w:type="spellStart"/>
      <w:r w:rsidRPr="0091762F">
        <w:rPr>
          <w:rFonts w:ascii="Arial" w:eastAsia="Times New Roman" w:hAnsi="Arial" w:cs="Arial"/>
          <w:sz w:val="24"/>
          <w:szCs w:val="24"/>
          <w:lang w:eastAsia="pt-BR"/>
        </w:rPr>
        <w:t>Proxmox</w:t>
      </w:r>
      <w:proofErr w:type="spellEnd"/>
      <w:r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. </w:t>
      </w:r>
      <w:r w:rsidR="00F52B66">
        <w:rPr>
          <w:rFonts w:ascii="Arial" w:eastAsia="Times New Roman" w:hAnsi="Arial" w:cs="Arial"/>
          <w:sz w:val="24"/>
          <w:szCs w:val="24"/>
          <w:lang w:eastAsia="pt-BR"/>
        </w:rPr>
        <w:t>Seus b</w:t>
      </w:r>
      <w:r w:rsidRPr="0091762F">
        <w:rPr>
          <w:rFonts w:ascii="Arial" w:eastAsia="Times New Roman" w:hAnsi="Arial" w:cs="Arial"/>
          <w:sz w:val="24"/>
          <w:szCs w:val="24"/>
          <w:lang w:eastAsia="pt-BR"/>
        </w:rPr>
        <w:t>enefícios</w:t>
      </w:r>
      <w:r w:rsidR="00F52B66">
        <w:rPr>
          <w:rFonts w:ascii="Arial" w:eastAsia="Times New Roman" w:hAnsi="Arial" w:cs="Arial"/>
          <w:sz w:val="24"/>
          <w:szCs w:val="24"/>
          <w:lang w:eastAsia="pt-BR"/>
        </w:rPr>
        <w:t xml:space="preserve"> são o</w:t>
      </w:r>
      <w:r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 maior controle sobre rede, segurança e dados; adequação a integrações legadas e requisitos específicos de conformidade</w:t>
      </w:r>
      <w:r w:rsidR="00F52B66">
        <w:rPr>
          <w:rFonts w:ascii="Arial" w:eastAsia="Times New Roman" w:hAnsi="Arial" w:cs="Arial"/>
          <w:sz w:val="24"/>
          <w:szCs w:val="24"/>
          <w:lang w:eastAsia="pt-BR"/>
        </w:rPr>
        <w:t xml:space="preserve"> e entre seus desafios sem encontram a</w:t>
      </w:r>
      <w:r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 capacidade limitada ao hardware disponível, maiores investimentos e esforço operacional para manter elasticidade e serviços de base (CORRÊA, 2025).</w:t>
      </w:r>
    </w:p>
    <w:p w14:paraId="2D5EE83D" w14:textId="574E63F5" w:rsidR="0091762F" w:rsidRPr="0091762F" w:rsidRDefault="00850112" w:rsidP="00850112">
      <w:pPr>
        <w:spacing w:before="100" w:beforeAutospacing="1" w:after="100" w:afterAutospacing="1" w:line="360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A nuvem h</w:t>
      </w:r>
      <w:r w:rsidR="0091762F" w:rsidRPr="0091762F">
        <w:rPr>
          <w:rFonts w:ascii="Arial" w:eastAsia="Times New Roman" w:hAnsi="Arial" w:cs="Arial"/>
          <w:sz w:val="24"/>
          <w:szCs w:val="24"/>
          <w:lang w:eastAsia="pt-BR"/>
        </w:rPr>
        <w:t>íbrida/</w:t>
      </w:r>
      <w:proofErr w:type="spellStart"/>
      <w:r w:rsidR="0091762F" w:rsidRPr="0091762F">
        <w:rPr>
          <w:rFonts w:ascii="Arial" w:eastAsia="Times New Roman" w:hAnsi="Arial" w:cs="Arial"/>
          <w:sz w:val="24"/>
          <w:szCs w:val="24"/>
          <w:lang w:eastAsia="pt-BR"/>
        </w:rPr>
        <w:t>multinuvem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 xml:space="preserve"> seria a</w:t>
      </w:r>
      <w:r w:rsidR="0091762F"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 combinação orquestrada de ambientes privados e públicos. </w:t>
      </w:r>
      <w:r w:rsidR="00CD29CE">
        <w:rPr>
          <w:rFonts w:ascii="Arial" w:eastAsia="Times New Roman" w:hAnsi="Arial" w:cs="Arial"/>
          <w:sz w:val="24"/>
          <w:szCs w:val="24"/>
          <w:lang w:eastAsia="pt-BR"/>
        </w:rPr>
        <w:t>Seus benefícios seriam a</w:t>
      </w:r>
      <w:r w:rsidR="0091762F"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 flexibilidade para alocar cargas conforme requisitos (custo, latência, sensibilidade dos dados) e resiliência a </w:t>
      </w:r>
      <w:r w:rsidR="0091762F" w:rsidRPr="0091762F">
        <w:rPr>
          <w:rFonts w:ascii="Arial" w:eastAsia="Times New Roman" w:hAnsi="Arial" w:cs="Arial"/>
          <w:sz w:val="24"/>
          <w:szCs w:val="24"/>
          <w:lang w:eastAsia="pt-BR"/>
        </w:rPr>
        <w:lastRenderedPageBreak/>
        <w:t>falhas de um único provedor</w:t>
      </w:r>
      <w:r w:rsidR="00CD29CE">
        <w:rPr>
          <w:rFonts w:ascii="Arial" w:eastAsia="Times New Roman" w:hAnsi="Arial" w:cs="Arial"/>
          <w:sz w:val="24"/>
          <w:szCs w:val="24"/>
          <w:lang w:eastAsia="pt-BR"/>
        </w:rPr>
        <w:t>, já seus desafios se encontram no</w:t>
      </w:r>
      <w:r w:rsidR="0091762F"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 aumento de complexidade de operação, governança e </w:t>
      </w:r>
      <w:proofErr w:type="spellStart"/>
      <w:r w:rsidR="0091762F" w:rsidRPr="0091762F">
        <w:rPr>
          <w:rFonts w:ascii="Arial" w:eastAsia="Times New Roman" w:hAnsi="Arial" w:cs="Arial"/>
          <w:sz w:val="24"/>
          <w:szCs w:val="24"/>
          <w:lang w:eastAsia="pt-BR"/>
        </w:rPr>
        <w:t>observabilidade</w:t>
      </w:r>
      <w:proofErr w:type="spellEnd"/>
      <w:r w:rsidR="0091762F"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 entre ambientes (CORRÊA, 2025).</w:t>
      </w:r>
    </w:p>
    <w:p w14:paraId="2D003A03" w14:textId="77777777" w:rsidR="0091762F" w:rsidRPr="0091762F" w:rsidRDefault="0091762F" w:rsidP="003C2C7D">
      <w:pPr>
        <w:spacing w:before="100" w:beforeAutospacing="1" w:after="100" w:afterAutospacing="1" w:line="360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Em termos arquiteturais, </w:t>
      </w:r>
      <w:proofErr w:type="spellStart"/>
      <w:r w:rsidRPr="0091762F">
        <w:rPr>
          <w:rFonts w:ascii="Arial" w:eastAsia="Times New Roman" w:hAnsi="Arial" w:cs="Arial"/>
          <w:sz w:val="24"/>
          <w:szCs w:val="24"/>
          <w:lang w:eastAsia="pt-BR"/>
        </w:rPr>
        <w:t>microsserviços</w:t>
      </w:r>
      <w:proofErr w:type="spellEnd"/>
      <w:r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, mensageria e containers favorecem portabilidade entre modelos, mitigando </w:t>
      </w:r>
      <w:proofErr w:type="spellStart"/>
      <w:r w:rsidRPr="0091762F">
        <w:rPr>
          <w:rFonts w:ascii="Arial" w:eastAsia="Times New Roman" w:hAnsi="Arial" w:cs="Arial"/>
          <w:sz w:val="24"/>
          <w:szCs w:val="24"/>
          <w:lang w:eastAsia="pt-BR"/>
        </w:rPr>
        <w:t>lock</w:t>
      </w:r>
      <w:proofErr w:type="spellEnd"/>
      <w:r w:rsidRPr="0091762F">
        <w:rPr>
          <w:rFonts w:ascii="Arial" w:eastAsia="Times New Roman" w:hAnsi="Arial" w:cs="Arial"/>
          <w:sz w:val="24"/>
          <w:szCs w:val="24"/>
          <w:lang w:eastAsia="pt-BR"/>
        </w:rPr>
        <w:t>-in e facilitando picos sazonais, como campanhas de alto tráfego (CORRÊA, 2025).</w:t>
      </w:r>
    </w:p>
    <w:p w14:paraId="7CBE545C" w14:textId="77777777" w:rsidR="0091762F" w:rsidRPr="0091762F" w:rsidRDefault="0091762F" w:rsidP="00720066">
      <w:pPr>
        <w:spacing w:before="100" w:beforeAutospacing="1" w:after="100" w:afterAutospacing="1" w:line="360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Em nuvem privada, </w:t>
      </w:r>
      <w:proofErr w:type="spellStart"/>
      <w:r w:rsidRPr="0091762F">
        <w:rPr>
          <w:rFonts w:ascii="Arial" w:eastAsia="Times New Roman" w:hAnsi="Arial" w:cs="Arial"/>
          <w:sz w:val="24"/>
          <w:szCs w:val="24"/>
          <w:lang w:eastAsia="pt-BR"/>
        </w:rPr>
        <w:t>Proxmox</w:t>
      </w:r>
      <w:proofErr w:type="spellEnd"/>
      <w:r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proofErr w:type="spellStart"/>
      <w:r w:rsidRPr="0091762F">
        <w:rPr>
          <w:rFonts w:ascii="Arial" w:eastAsia="Times New Roman" w:hAnsi="Arial" w:cs="Arial"/>
          <w:sz w:val="24"/>
          <w:szCs w:val="24"/>
          <w:lang w:eastAsia="pt-BR"/>
        </w:rPr>
        <w:t>OpenStack</w:t>
      </w:r>
      <w:proofErr w:type="spellEnd"/>
      <w:r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 (plataforma de nuvem privada) permitem criação e gestão de máquinas virtuais e redes, enquanto </w:t>
      </w:r>
      <w:proofErr w:type="spellStart"/>
      <w:r w:rsidRPr="0091762F">
        <w:rPr>
          <w:rFonts w:ascii="Arial" w:eastAsia="Times New Roman" w:hAnsi="Arial" w:cs="Arial"/>
          <w:sz w:val="24"/>
          <w:szCs w:val="24"/>
          <w:lang w:eastAsia="pt-BR"/>
        </w:rPr>
        <w:t>Kubernetes</w:t>
      </w:r>
      <w:proofErr w:type="spellEnd"/>
      <w:r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 (orquestrador de containers) orquestra containers, automatizando distribuição, escalonamento e </w:t>
      </w:r>
      <w:proofErr w:type="spellStart"/>
      <w:r w:rsidRPr="0091762F">
        <w:rPr>
          <w:rFonts w:ascii="Arial" w:eastAsia="Times New Roman" w:hAnsi="Arial" w:cs="Arial"/>
          <w:sz w:val="24"/>
          <w:szCs w:val="24"/>
          <w:lang w:eastAsia="pt-BR"/>
        </w:rPr>
        <w:t>autorrecuperação</w:t>
      </w:r>
      <w:proofErr w:type="spellEnd"/>
      <w:r w:rsidRPr="0091762F">
        <w:rPr>
          <w:rFonts w:ascii="Arial" w:eastAsia="Times New Roman" w:hAnsi="Arial" w:cs="Arial"/>
          <w:sz w:val="24"/>
          <w:szCs w:val="24"/>
          <w:lang w:eastAsia="pt-BR"/>
        </w:rPr>
        <w:t>. Docker (</w:t>
      </w:r>
      <w:proofErr w:type="spellStart"/>
      <w:r w:rsidRPr="0091762F">
        <w:rPr>
          <w:rFonts w:ascii="Arial" w:eastAsia="Times New Roman" w:hAnsi="Arial" w:cs="Arial"/>
          <w:sz w:val="24"/>
          <w:szCs w:val="24"/>
          <w:lang w:eastAsia="pt-BR"/>
        </w:rPr>
        <w:t>runtime</w:t>
      </w:r>
      <w:proofErr w:type="spellEnd"/>
      <w:r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 de containers) fornece o mecanismo para criar e executar containers (CORRÊA, 2025). No </w:t>
      </w:r>
      <w:proofErr w:type="spellStart"/>
      <w:r w:rsidRPr="0091762F">
        <w:rPr>
          <w:rFonts w:ascii="Arial" w:eastAsia="Times New Roman" w:hAnsi="Arial" w:cs="Arial"/>
          <w:sz w:val="24"/>
          <w:szCs w:val="24"/>
          <w:lang w:eastAsia="pt-BR"/>
        </w:rPr>
        <w:t>OpenStack</w:t>
      </w:r>
      <w:proofErr w:type="spellEnd"/>
      <w:r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, Nova (computação), </w:t>
      </w:r>
      <w:proofErr w:type="spellStart"/>
      <w:r w:rsidRPr="0091762F">
        <w:rPr>
          <w:rFonts w:ascii="Arial" w:eastAsia="Times New Roman" w:hAnsi="Arial" w:cs="Arial"/>
          <w:sz w:val="24"/>
          <w:szCs w:val="24"/>
          <w:lang w:eastAsia="pt-BR"/>
        </w:rPr>
        <w:t>Neutron</w:t>
      </w:r>
      <w:proofErr w:type="spellEnd"/>
      <w:r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 (rede), </w:t>
      </w:r>
      <w:proofErr w:type="spellStart"/>
      <w:r w:rsidRPr="0091762F">
        <w:rPr>
          <w:rFonts w:ascii="Arial" w:eastAsia="Times New Roman" w:hAnsi="Arial" w:cs="Arial"/>
          <w:sz w:val="24"/>
          <w:szCs w:val="24"/>
          <w:lang w:eastAsia="pt-BR"/>
        </w:rPr>
        <w:t>Cinder</w:t>
      </w:r>
      <w:proofErr w:type="spellEnd"/>
      <w:r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 (armazenamento em blocos) e Swift (armazenamento de objetos) compõem a base de serviços (CORRÊA, 2025; MATOS; BARBOSA, 2016).</w:t>
      </w:r>
    </w:p>
    <w:p w14:paraId="2CB7545F" w14:textId="5ABA3F20" w:rsidR="0091762F" w:rsidRPr="0091762F" w:rsidRDefault="00D62A71" w:rsidP="0091762F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ab/>
      </w:r>
      <w:r w:rsidR="0091762F" w:rsidRPr="0091762F">
        <w:rPr>
          <w:rFonts w:ascii="Arial" w:eastAsia="Times New Roman" w:hAnsi="Arial" w:cs="Arial"/>
          <w:sz w:val="24"/>
          <w:szCs w:val="24"/>
          <w:lang w:eastAsia="pt-BR"/>
        </w:rPr>
        <w:t>Containers representam virtualização em nível de sistema operacional, compartilhando o kernel e isolando processos/recursos, reduzindo overhead e acelerando provisionamento — úteis para serviços de apoio, aplicações leves e ambientes de teste (CORRÊA, 2025).</w:t>
      </w:r>
    </w:p>
    <w:p w14:paraId="102C793C" w14:textId="199B6CA8" w:rsidR="0091762F" w:rsidRPr="0091762F" w:rsidRDefault="00D62A71" w:rsidP="0091762F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ab/>
      </w:r>
      <w:r w:rsidR="0091762F"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Para um e-commerce com milhões de usuários simultâneos e alta disponibilidade, a escolha recomendada </w:t>
      </w:r>
      <w:r w:rsidR="007D4448">
        <w:rPr>
          <w:rFonts w:ascii="Arial" w:eastAsia="Times New Roman" w:hAnsi="Arial" w:cs="Arial"/>
          <w:sz w:val="24"/>
          <w:szCs w:val="24"/>
          <w:lang w:eastAsia="pt-BR"/>
        </w:rPr>
        <w:t>seria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a utilização de</w:t>
      </w:r>
      <w:r w:rsidR="0091762F"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="0091762F" w:rsidRPr="0091762F">
        <w:rPr>
          <w:rFonts w:ascii="Arial" w:eastAsia="Times New Roman" w:hAnsi="Arial" w:cs="Arial"/>
          <w:sz w:val="24"/>
          <w:szCs w:val="24"/>
          <w:lang w:eastAsia="pt-BR"/>
        </w:rPr>
        <w:t>microsserviços</w:t>
      </w:r>
      <w:proofErr w:type="spellEnd"/>
      <w:r w:rsidR="0091762F" w:rsidRPr="0091762F">
        <w:rPr>
          <w:rFonts w:ascii="Arial" w:eastAsia="Times New Roman" w:hAnsi="Arial" w:cs="Arial"/>
          <w:sz w:val="24"/>
          <w:szCs w:val="24"/>
          <w:lang w:eastAsia="pt-BR"/>
        </w:rPr>
        <w:t>, decompondo o sistema em domínios independentes</w:t>
      </w:r>
      <w:r w:rsidR="003A3B8A">
        <w:rPr>
          <w:rFonts w:ascii="Arial" w:eastAsia="Times New Roman" w:hAnsi="Arial" w:cs="Arial"/>
          <w:sz w:val="24"/>
          <w:szCs w:val="24"/>
          <w:lang w:eastAsia="pt-BR"/>
        </w:rPr>
        <w:t>,</w:t>
      </w:r>
      <w:r w:rsidR="0091762F"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 catálogo, carrinho, pedidos, pagamentos. Assim, escalam-se apenas os módulos mais demandados e reduzem-se gargalos específicos (CORRÊA, 2025). Filas e </w:t>
      </w:r>
      <w:proofErr w:type="spellStart"/>
      <w:r w:rsidR="0091762F" w:rsidRPr="0091762F">
        <w:rPr>
          <w:rFonts w:ascii="Arial" w:eastAsia="Times New Roman" w:hAnsi="Arial" w:cs="Arial"/>
          <w:sz w:val="24"/>
          <w:szCs w:val="24"/>
          <w:lang w:eastAsia="pt-BR"/>
        </w:rPr>
        <w:t>streams</w:t>
      </w:r>
      <w:proofErr w:type="spellEnd"/>
      <w:r w:rsidR="0091762F"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 de eventos (mensageria) desacoplam fluxos críticos</w:t>
      </w:r>
      <w:r w:rsidR="003A3B8A">
        <w:rPr>
          <w:rFonts w:ascii="Arial" w:eastAsia="Times New Roman" w:hAnsi="Arial" w:cs="Arial"/>
          <w:sz w:val="24"/>
          <w:szCs w:val="24"/>
          <w:lang w:eastAsia="pt-BR"/>
        </w:rPr>
        <w:t>,</w:t>
      </w:r>
      <w:r w:rsidR="0091762F"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 como confirmação de pedido e processamento de pagamento, permitindo processamento assíncrono e suavização de picos (CORRÊA, 2025).</w:t>
      </w:r>
    </w:p>
    <w:p w14:paraId="1533B988" w14:textId="5E4AAE24" w:rsidR="0091762F" w:rsidRPr="0091762F" w:rsidRDefault="00846696" w:rsidP="0091762F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ab/>
      </w:r>
      <w:r w:rsidR="0091762F"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Quanto ao modelo de nuvem, a recomendação prática é usar nuvem pública como base, pela elasticidade rápida, serviços gerenciados e presença global, e avaliar cenários híbridos quando houver cargas sensíveis, integrações legadas de baixa latência ou previsibilidade de custo que justifique parte da </w:t>
      </w:r>
      <w:r w:rsidR="0091762F" w:rsidRPr="0091762F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infraestrutura privada (CORRÊA, 2025). Em ambos os casos, privilegie implantação </w:t>
      </w:r>
      <w:proofErr w:type="spellStart"/>
      <w:r w:rsidR="0091762F" w:rsidRPr="0091762F">
        <w:rPr>
          <w:rFonts w:ascii="Arial" w:eastAsia="Times New Roman" w:hAnsi="Arial" w:cs="Arial"/>
          <w:sz w:val="24"/>
          <w:szCs w:val="24"/>
          <w:lang w:eastAsia="pt-BR"/>
        </w:rPr>
        <w:t>multi-região</w:t>
      </w:r>
      <w:proofErr w:type="spellEnd"/>
      <w:r w:rsidR="0091762F"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 e redundância entre zonas para reduzir latência e aumentar disponibilidade.</w:t>
      </w:r>
    </w:p>
    <w:p w14:paraId="7C615BDD" w14:textId="720771FE" w:rsidR="0091762F" w:rsidRPr="0091762F" w:rsidRDefault="00846696" w:rsidP="0091762F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ab/>
      </w:r>
      <w:r w:rsidR="0091762F"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Na infraestrutura, um cluster </w:t>
      </w:r>
      <w:proofErr w:type="spellStart"/>
      <w:r w:rsidR="0091762F" w:rsidRPr="0091762F">
        <w:rPr>
          <w:rFonts w:ascii="Arial" w:eastAsia="Times New Roman" w:hAnsi="Arial" w:cs="Arial"/>
          <w:sz w:val="24"/>
          <w:szCs w:val="24"/>
          <w:lang w:eastAsia="pt-BR"/>
        </w:rPr>
        <w:t>Kubernetes</w:t>
      </w:r>
      <w:proofErr w:type="spellEnd"/>
      <w:r w:rsidR="0091762F"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 (orquestrador de containers) com esteiras de entrega (CI/CD) e infraestrutura como código (</w:t>
      </w:r>
      <w:proofErr w:type="spellStart"/>
      <w:r w:rsidR="0091762F" w:rsidRPr="0091762F">
        <w:rPr>
          <w:rFonts w:ascii="Arial" w:eastAsia="Times New Roman" w:hAnsi="Arial" w:cs="Arial"/>
          <w:sz w:val="24"/>
          <w:szCs w:val="24"/>
          <w:lang w:eastAsia="pt-BR"/>
        </w:rPr>
        <w:t>IaC</w:t>
      </w:r>
      <w:proofErr w:type="spellEnd"/>
      <w:r w:rsidR="0091762F" w:rsidRPr="0091762F">
        <w:rPr>
          <w:rFonts w:ascii="Arial" w:eastAsia="Times New Roman" w:hAnsi="Arial" w:cs="Arial"/>
          <w:sz w:val="24"/>
          <w:szCs w:val="24"/>
          <w:lang w:eastAsia="pt-BR"/>
        </w:rPr>
        <w:t>) oferece elasticidade e isolamento de falhas, com escalonamento automático e reprogramação de instâncias. Para sustentar alta disponibilidade, recomenda-se redundância entre zonas/regiões, verificações automáticas de saúde (</w:t>
      </w:r>
      <w:proofErr w:type="spellStart"/>
      <w:r w:rsidR="0091762F" w:rsidRPr="0091762F">
        <w:rPr>
          <w:rFonts w:ascii="Arial" w:eastAsia="Times New Roman" w:hAnsi="Arial" w:cs="Arial"/>
          <w:sz w:val="24"/>
          <w:szCs w:val="24"/>
          <w:lang w:eastAsia="pt-BR"/>
        </w:rPr>
        <w:t>health</w:t>
      </w:r>
      <w:proofErr w:type="spellEnd"/>
      <w:r w:rsidR="0091762F"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="0091762F" w:rsidRPr="0091762F">
        <w:rPr>
          <w:rFonts w:ascii="Arial" w:eastAsia="Times New Roman" w:hAnsi="Arial" w:cs="Arial"/>
          <w:sz w:val="24"/>
          <w:szCs w:val="24"/>
          <w:lang w:eastAsia="pt-BR"/>
        </w:rPr>
        <w:t>checks</w:t>
      </w:r>
      <w:proofErr w:type="spellEnd"/>
      <w:r w:rsidR="0091762F" w:rsidRPr="0091762F">
        <w:rPr>
          <w:rFonts w:ascii="Arial" w:eastAsia="Times New Roman" w:hAnsi="Arial" w:cs="Arial"/>
          <w:sz w:val="24"/>
          <w:szCs w:val="24"/>
          <w:lang w:eastAsia="pt-BR"/>
        </w:rPr>
        <w:t>), disjuntor lógico (</w:t>
      </w:r>
      <w:proofErr w:type="spellStart"/>
      <w:r w:rsidR="0091762F" w:rsidRPr="0091762F">
        <w:rPr>
          <w:rFonts w:ascii="Arial" w:eastAsia="Times New Roman" w:hAnsi="Arial" w:cs="Arial"/>
          <w:sz w:val="24"/>
          <w:szCs w:val="24"/>
          <w:lang w:eastAsia="pt-BR"/>
        </w:rPr>
        <w:t>circuit</w:t>
      </w:r>
      <w:proofErr w:type="spellEnd"/>
      <w:r w:rsidR="0091762F"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="0091762F" w:rsidRPr="0091762F">
        <w:rPr>
          <w:rFonts w:ascii="Arial" w:eastAsia="Times New Roman" w:hAnsi="Arial" w:cs="Arial"/>
          <w:sz w:val="24"/>
          <w:szCs w:val="24"/>
          <w:lang w:eastAsia="pt-BR"/>
        </w:rPr>
        <w:t>breaker</w:t>
      </w:r>
      <w:proofErr w:type="spellEnd"/>
      <w:r w:rsidR="0091762F" w:rsidRPr="0091762F">
        <w:rPr>
          <w:rFonts w:ascii="Arial" w:eastAsia="Times New Roman" w:hAnsi="Arial" w:cs="Arial"/>
          <w:sz w:val="24"/>
          <w:szCs w:val="24"/>
          <w:lang w:eastAsia="pt-BR"/>
        </w:rPr>
        <w:t>) e novas tentativas com intervalos crescentes (</w:t>
      </w:r>
      <w:proofErr w:type="spellStart"/>
      <w:r w:rsidR="0091762F" w:rsidRPr="0091762F">
        <w:rPr>
          <w:rFonts w:ascii="Arial" w:eastAsia="Times New Roman" w:hAnsi="Arial" w:cs="Arial"/>
          <w:sz w:val="24"/>
          <w:szCs w:val="24"/>
          <w:lang w:eastAsia="pt-BR"/>
        </w:rPr>
        <w:t>retry</w:t>
      </w:r>
      <w:proofErr w:type="spellEnd"/>
      <w:r w:rsidR="0091762F"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 com </w:t>
      </w:r>
      <w:proofErr w:type="spellStart"/>
      <w:r w:rsidR="0091762F" w:rsidRPr="0091762F">
        <w:rPr>
          <w:rFonts w:ascii="Arial" w:eastAsia="Times New Roman" w:hAnsi="Arial" w:cs="Arial"/>
          <w:sz w:val="24"/>
          <w:szCs w:val="24"/>
          <w:lang w:eastAsia="pt-BR"/>
        </w:rPr>
        <w:t>backoff</w:t>
      </w:r>
      <w:proofErr w:type="spellEnd"/>
      <w:r w:rsidR="0091762F" w:rsidRPr="0091762F">
        <w:rPr>
          <w:rFonts w:ascii="Arial" w:eastAsia="Times New Roman" w:hAnsi="Arial" w:cs="Arial"/>
          <w:sz w:val="24"/>
          <w:szCs w:val="24"/>
          <w:lang w:eastAsia="pt-BR"/>
        </w:rPr>
        <w:t>), mitigando falhas parciais e intermitências de rede (CORRÊA, 2025). Padrões como Provedor intermediário (Proxy) e o princípio de inversão de dependência (</w:t>
      </w:r>
      <w:proofErr w:type="spellStart"/>
      <w:r w:rsidR="0091762F" w:rsidRPr="0091762F">
        <w:rPr>
          <w:rFonts w:ascii="Arial" w:eastAsia="Times New Roman" w:hAnsi="Arial" w:cs="Arial"/>
          <w:sz w:val="24"/>
          <w:szCs w:val="24"/>
          <w:lang w:eastAsia="pt-BR"/>
        </w:rPr>
        <w:t>Dependency</w:t>
      </w:r>
      <w:proofErr w:type="spellEnd"/>
      <w:r w:rsidR="0091762F"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="0091762F" w:rsidRPr="0091762F">
        <w:rPr>
          <w:rFonts w:ascii="Arial" w:eastAsia="Times New Roman" w:hAnsi="Arial" w:cs="Arial"/>
          <w:sz w:val="24"/>
          <w:szCs w:val="24"/>
          <w:lang w:eastAsia="pt-BR"/>
        </w:rPr>
        <w:t>Inversion</w:t>
      </w:r>
      <w:proofErr w:type="spellEnd"/>
      <w:r w:rsidR="0091762F"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="0091762F" w:rsidRPr="0091762F">
        <w:rPr>
          <w:rFonts w:ascii="Arial" w:eastAsia="Times New Roman" w:hAnsi="Arial" w:cs="Arial"/>
          <w:sz w:val="24"/>
          <w:szCs w:val="24"/>
          <w:lang w:eastAsia="pt-BR"/>
        </w:rPr>
        <w:t>Principle</w:t>
      </w:r>
      <w:proofErr w:type="spellEnd"/>
      <w:r w:rsidR="0091762F"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 — DIP) ajudam a controlar acesso a recursos críticos e a manter baixo acoplamento (GAMMA et al., 1995; CAMPOMORI, 2017).</w:t>
      </w:r>
    </w:p>
    <w:p w14:paraId="261AF48B" w14:textId="77777777" w:rsidR="00846696" w:rsidRDefault="00846696" w:rsidP="0084669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ab/>
      </w:r>
      <w:r w:rsidR="0091762F"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Uma boa arquitetura equilibra simplicidade e capacidade de evolução, apoiando-se em princípios SOLID e padrões </w:t>
      </w:r>
      <w:proofErr w:type="spellStart"/>
      <w:r w:rsidR="0091762F" w:rsidRPr="0091762F">
        <w:rPr>
          <w:rFonts w:ascii="Arial" w:eastAsia="Times New Roman" w:hAnsi="Arial" w:cs="Arial"/>
          <w:sz w:val="24"/>
          <w:szCs w:val="24"/>
          <w:lang w:eastAsia="pt-BR"/>
        </w:rPr>
        <w:t>GoF</w:t>
      </w:r>
      <w:proofErr w:type="spellEnd"/>
      <w:r w:rsidR="0091762F"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 para reduzir acoplamento e aumentar coesão (GAMMA et al., 1995; ANICHE, 2015). Em alta escala, </w:t>
      </w:r>
      <w:proofErr w:type="spellStart"/>
      <w:r w:rsidR="0091762F" w:rsidRPr="0091762F">
        <w:rPr>
          <w:rFonts w:ascii="Arial" w:eastAsia="Times New Roman" w:hAnsi="Arial" w:cs="Arial"/>
          <w:sz w:val="24"/>
          <w:szCs w:val="24"/>
          <w:lang w:eastAsia="pt-BR"/>
        </w:rPr>
        <w:t>microsserviços</w:t>
      </w:r>
      <w:proofErr w:type="spellEnd"/>
      <w:r w:rsidR="0091762F"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 sobre plataformas de virtualização e orquestração (</w:t>
      </w:r>
      <w:proofErr w:type="spellStart"/>
      <w:r w:rsidR="0091762F" w:rsidRPr="0091762F">
        <w:rPr>
          <w:rFonts w:ascii="Arial" w:eastAsia="Times New Roman" w:hAnsi="Arial" w:cs="Arial"/>
          <w:sz w:val="24"/>
          <w:szCs w:val="24"/>
          <w:lang w:eastAsia="pt-BR"/>
        </w:rPr>
        <w:t>OpenStack</w:t>
      </w:r>
      <w:proofErr w:type="spellEnd"/>
      <w:r w:rsidR="0091762F"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="0091762F" w:rsidRPr="0091762F">
        <w:rPr>
          <w:rFonts w:ascii="Arial" w:eastAsia="Times New Roman" w:hAnsi="Arial" w:cs="Arial"/>
          <w:sz w:val="24"/>
          <w:szCs w:val="24"/>
          <w:lang w:eastAsia="pt-BR"/>
        </w:rPr>
        <w:t>Kubernetes</w:t>
      </w:r>
      <w:proofErr w:type="spellEnd"/>
      <w:r w:rsidR="0091762F"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 e Docker) oferecem base técnica para lidar com milhões de usuários e garantir disponibilidade; e a escolha entre nuvem pública, privada ou híbrida deve considerar elasticidade, custo, controle e conformidade (CORRÊA, 2025). Não há solução universal: a decisão depende do estágio do projeto, maturidade da equipe e requisitos de negócio (MARTIN, 2009).</w:t>
      </w:r>
    </w:p>
    <w:p w14:paraId="5AA32D6B" w14:textId="0691E56B" w:rsidR="0091762F" w:rsidRPr="0091762F" w:rsidRDefault="0091762F" w:rsidP="00846696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91762F">
        <w:rPr>
          <w:rFonts w:ascii="Arial" w:eastAsia="Times New Roman" w:hAnsi="Arial" w:cs="Arial"/>
          <w:kern w:val="36"/>
          <w:sz w:val="24"/>
          <w:szCs w:val="24"/>
          <w:lang w:eastAsia="pt-BR"/>
        </w:rPr>
        <w:t>Referências</w:t>
      </w:r>
    </w:p>
    <w:p w14:paraId="41124A8C" w14:textId="77777777" w:rsidR="0091762F" w:rsidRPr="0091762F" w:rsidRDefault="0091762F" w:rsidP="00846696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1762F">
        <w:rPr>
          <w:rFonts w:ascii="Arial" w:eastAsia="Times New Roman" w:hAnsi="Arial" w:cs="Arial"/>
          <w:sz w:val="24"/>
          <w:szCs w:val="24"/>
          <w:lang w:eastAsia="pt-BR"/>
        </w:rPr>
        <w:t>ANICHE, Maurício. Orientação a objetos e SOLID para ninjas: projetando classes flexíveis. São Paulo: Casa do Código, 2015.</w:t>
      </w:r>
      <w:r w:rsidRPr="0091762F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CAMPOMORI, Cleber. Introdução aos Princípios SOLID. [S. l.], 9 jul. 2017. Disponível em: </w:t>
      </w:r>
      <w:hyperlink r:id="rId5" w:history="1">
        <w:r w:rsidRPr="0091762F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https://www.treinaweb.com.br/blog/introducao-aos-principios-solid/</w:t>
        </w:r>
      </w:hyperlink>
      <w:r w:rsidRPr="0091762F">
        <w:rPr>
          <w:rFonts w:ascii="Arial" w:eastAsia="Times New Roman" w:hAnsi="Arial" w:cs="Arial"/>
          <w:sz w:val="24"/>
          <w:szCs w:val="24"/>
          <w:lang w:eastAsia="pt-BR"/>
        </w:rPr>
        <w:t>. Acesso em: 30 ago. 2025.</w:t>
      </w:r>
      <w:r w:rsidRPr="0091762F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CORRÊA, D. A. Projeto, implementação e teste de software. Florianópolis: </w:t>
      </w:r>
      <w:proofErr w:type="spellStart"/>
      <w:r w:rsidRPr="0091762F">
        <w:rPr>
          <w:rFonts w:ascii="Arial" w:eastAsia="Times New Roman" w:hAnsi="Arial" w:cs="Arial"/>
          <w:sz w:val="24"/>
          <w:szCs w:val="24"/>
          <w:lang w:eastAsia="pt-BR"/>
        </w:rPr>
        <w:t>Arqué</w:t>
      </w:r>
      <w:proofErr w:type="spellEnd"/>
      <w:r w:rsidRPr="0091762F">
        <w:rPr>
          <w:rFonts w:ascii="Arial" w:eastAsia="Times New Roman" w:hAnsi="Arial" w:cs="Arial"/>
          <w:sz w:val="24"/>
          <w:szCs w:val="24"/>
          <w:lang w:eastAsia="pt-BR"/>
        </w:rPr>
        <w:t>, 2025.</w:t>
      </w:r>
      <w:r w:rsidRPr="0091762F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91762F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GAMMA, Erich et al. Design </w:t>
      </w:r>
      <w:proofErr w:type="spellStart"/>
      <w:r w:rsidRPr="0091762F">
        <w:rPr>
          <w:rFonts w:ascii="Arial" w:eastAsia="Times New Roman" w:hAnsi="Arial" w:cs="Arial"/>
          <w:sz w:val="24"/>
          <w:szCs w:val="24"/>
          <w:lang w:eastAsia="pt-BR"/>
        </w:rPr>
        <w:t>patterns</w:t>
      </w:r>
      <w:proofErr w:type="spellEnd"/>
      <w:r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: </w:t>
      </w:r>
      <w:proofErr w:type="spellStart"/>
      <w:r w:rsidRPr="0091762F">
        <w:rPr>
          <w:rFonts w:ascii="Arial" w:eastAsia="Times New Roman" w:hAnsi="Arial" w:cs="Arial"/>
          <w:sz w:val="24"/>
          <w:szCs w:val="24"/>
          <w:lang w:eastAsia="pt-BR"/>
        </w:rPr>
        <w:t>elements</w:t>
      </w:r>
      <w:proofErr w:type="spellEnd"/>
      <w:r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91762F">
        <w:rPr>
          <w:rFonts w:ascii="Arial" w:eastAsia="Times New Roman" w:hAnsi="Arial" w:cs="Arial"/>
          <w:sz w:val="24"/>
          <w:szCs w:val="24"/>
          <w:lang w:eastAsia="pt-BR"/>
        </w:rPr>
        <w:t>of</w:t>
      </w:r>
      <w:proofErr w:type="spellEnd"/>
      <w:r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91762F">
        <w:rPr>
          <w:rFonts w:ascii="Arial" w:eastAsia="Times New Roman" w:hAnsi="Arial" w:cs="Arial"/>
          <w:sz w:val="24"/>
          <w:szCs w:val="24"/>
          <w:lang w:eastAsia="pt-BR"/>
        </w:rPr>
        <w:t>reusable</w:t>
      </w:r>
      <w:proofErr w:type="spellEnd"/>
      <w:r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91762F">
        <w:rPr>
          <w:rFonts w:ascii="Arial" w:eastAsia="Times New Roman" w:hAnsi="Arial" w:cs="Arial"/>
          <w:sz w:val="24"/>
          <w:szCs w:val="24"/>
          <w:lang w:eastAsia="pt-BR"/>
        </w:rPr>
        <w:t>object-oriented</w:t>
      </w:r>
      <w:proofErr w:type="spellEnd"/>
      <w:r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 software. Londres: </w:t>
      </w:r>
      <w:proofErr w:type="spellStart"/>
      <w:r w:rsidRPr="0091762F">
        <w:rPr>
          <w:rFonts w:ascii="Arial" w:eastAsia="Times New Roman" w:hAnsi="Arial" w:cs="Arial"/>
          <w:sz w:val="24"/>
          <w:szCs w:val="24"/>
          <w:lang w:eastAsia="pt-BR"/>
        </w:rPr>
        <w:t>Addison</w:t>
      </w:r>
      <w:proofErr w:type="spellEnd"/>
      <w:r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-Wesley </w:t>
      </w:r>
      <w:proofErr w:type="spellStart"/>
      <w:r w:rsidRPr="0091762F">
        <w:rPr>
          <w:rFonts w:ascii="Arial" w:eastAsia="Times New Roman" w:hAnsi="Arial" w:cs="Arial"/>
          <w:sz w:val="24"/>
          <w:szCs w:val="24"/>
          <w:lang w:eastAsia="pt-BR"/>
        </w:rPr>
        <w:t>Longman</w:t>
      </w:r>
      <w:proofErr w:type="spellEnd"/>
      <w:r w:rsidRPr="0091762F">
        <w:rPr>
          <w:rFonts w:ascii="Arial" w:eastAsia="Times New Roman" w:hAnsi="Arial" w:cs="Arial"/>
          <w:sz w:val="24"/>
          <w:szCs w:val="24"/>
          <w:lang w:eastAsia="pt-BR"/>
        </w:rPr>
        <w:t>, 1995.</w:t>
      </w:r>
      <w:r w:rsidRPr="0091762F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MARTIN, Robert C. Código limpo: habilidades práticas do </w:t>
      </w:r>
      <w:proofErr w:type="spellStart"/>
      <w:r w:rsidRPr="0091762F">
        <w:rPr>
          <w:rFonts w:ascii="Arial" w:eastAsia="Times New Roman" w:hAnsi="Arial" w:cs="Arial"/>
          <w:sz w:val="24"/>
          <w:szCs w:val="24"/>
          <w:lang w:eastAsia="pt-BR"/>
        </w:rPr>
        <w:t>Agile</w:t>
      </w:r>
      <w:proofErr w:type="spellEnd"/>
      <w:r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 Software. Rio de Janeiro: Alta Books, 2009.</w:t>
      </w:r>
      <w:r w:rsidRPr="0091762F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MARTIN, Robert C.; MARTIN, </w:t>
      </w:r>
      <w:proofErr w:type="spellStart"/>
      <w:r w:rsidRPr="0091762F">
        <w:rPr>
          <w:rFonts w:ascii="Arial" w:eastAsia="Times New Roman" w:hAnsi="Arial" w:cs="Arial"/>
          <w:sz w:val="24"/>
          <w:szCs w:val="24"/>
          <w:lang w:eastAsia="pt-BR"/>
        </w:rPr>
        <w:t>Micah</w:t>
      </w:r>
      <w:proofErr w:type="spellEnd"/>
      <w:r w:rsidRPr="0091762F">
        <w:rPr>
          <w:rFonts w:ascii="Arial" w:eastAsia="Times New Roman" w:hAnsi="Arial" w:cs="Arial"/>
          <w:sz w:val="24"/>
          <w:szCs w:val="24"/>
          <w:lang w:eastAsia="pt-BR"/>
        </w:rPr>
        <w:t>. Princípios, padrões e práticas ágeis em C#. Porto Alegre: Bookman, 2011.</w:t>
      </w:r>
      <w:r w:rsidRPr="0091762F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MATOS, Claudio Costa; BARBOSA, Fernando </w:t>
      </w:r>
      <w:proofErr w:type="spellStart"/>
      <w:r w:rsidRPr="0091762F">
        <w:rPr>
          <w:rFonts w:ascii="Arial" w:eastAsia="Times New Roman" w:hAnsi="Arial" w:cs="Arial"/>
          <w:sz w:val="24"/>
          <w:szCs w:val="24"/>
          <w:lang w:eastAsia="pt-BR"/>
        </w:rPr>
        <w:t>Kauffmann</w:t>
      </w:r>
      <w:proofErr w:type="spellEnd"/>
      <w:r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. O uso dos padrões de projeto </w:t>
      </w:r>
      <w:proofErr w:type="spellStart"/>
      <w:r w:rsidRPr="0091762F">
        <w:rPr>
          <w:rFonts w:ascii="Arial" w:eastAsia="Times New Roman" w:hAnsi="Arial" w:cs="Arial"/>
          <w:sz w:val="24"/>
          <w:szCs w:val="24"/>
          <w:lang w:eastAsia="pt-BR"/>
        </w:rPr>
        <w:t>GoF</w:t>
      </w:r>
      <w:proofErr w:type="spellEnd"/>
      <w:r w:rsidRPr="0091762F">
        <w:rPr>
          <w:rFonts w:ascii="Arial" w:eastAsia="Times New Roman" w:hAnsi="Arial" w:cs="Arial"/>
          <w:sz w:val="24"/>
          <w:szCs w:val="24"/>
          <w:lang w:eastAsia="pt-BR"/>
        </w:rPr>
        <w:t xml:space="preserve"> na análise e desenvolvimento de sistemas. Revista UNILUS Ensino e Pesquisa, v. 13, n. 30, p. 41–53, jan./mar. 2016.</w:t>
      </w:r>
    </w:p>
    <w:p w14:paraId="303D2278" w14:textId="77777777" w:rsidR="004F610E" w:rsidRPr="0091762F" w:rsidRDefault="004F610E" w:rsidP="0091762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4F610E" w:rsidRPr="009176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8604DD"/>
    <w:multiLevelType w:val="multilevel"/>
    <w:tmpl w:val="703084E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E05764"/>
    <w:multiLevelType w:val="multilevel"/>
    <w:tmpl w:val="DBDA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6E8"/>
    <w:rsid w:val="003146FD"/>
    <w:rsid w:val="003A3B8A"/>
    <w:rsid w:val="003C2C7D"/>
    <w:rsid w:val="00455DCC"/>
    <w:rsid w:val="004A6F3B"/>
    <w:rsid w:val="004F610E"/>
    <w:rsid w:val="005F66E8"/>
    <w:rsid w:val="00720066"/>
    <w:rsid w:val="007D4448"/>
    <w:rsid w:val="00846696"/>
    <w:rsid w:val="00850112"/>
    <w:rsid w:val="0091762F"/>
    <w:rsid w:val="00937BEF"/>
    <w:rsid w:val="00CD29CE"/>
    <w:rsid w:val="00D13C9C"/>
    <w:rsid w:val="00D62A71"/>
    <w:rsid w:val="00E527CF"/>
    <w:rsid w:val="00EA2A56"/>
    <w:rsid w:val="00EE62F8"/>
    <w:rsid w:val="00F52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DC2B1"/>
  <w15:chartTrackingRefBased/>
  <w15:docId w15:val="{2B5AC07D-25AE-4288-B394-0B7267EBC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176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1762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17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1762F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9176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609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treinaweb.com.br/blog/introducao-aos-principios-soli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2010</Words>
  <Characters>10858</Characters>
  <Application>Microsoft Office Word</Application>
  <DocSecurity>0</DocSecurity>
  <Lines>90</Lines>
  <Paragraphs>25</Paragraphs>
  <ScaleCrop>false</ScaleCrop>
  <Company/>
  <LinksUpToDate>false</LinksUpToDate>
  <CharactersWithSpaces>12843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marcelo</dc:creator>
  <cp:keywords/>
  <dc:description/>
  <cp:lastModifiedBy>douglas marcelo</cp:lastModifiedBy>
  <cp:revision>19</cp:revision>
  <dcterms:created xsi:type="dcterms:W3CDTF">2025-08-30T16:37:00Z</dcterms:created>
  <dcterms:modified xsi:type="dcterms:W3CDTF">2025-08-30T16:54:00Z</dcterms:modified>
</cp:coreProperties>
</file>