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047929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Introdução</w:t>
      </w:r>
    </w:p>
    <w:p w14:paraId="29A8F96E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>O desenvolvimento de software contemporâneo exige que empresas projetem sistemas cada vez mais complexos, escaláveis e resilientes. A arquitetura de software, nesse contexto, não é apenas um conjunto de diagramas, mas a definição da estrutura de alto nível do sistema e das regras que guiarão a sua evolução ao longo do tempo. Como destaca Corrêa (2025), a escolha arquitetural impacta diretamente a escalabilidade, a manutenibilidade e o custo de evolução dos sistemas. Uma decisão equivocada nessa etapa pode levar a aplicações rígidas, difíceis de manter e de alto custo, enquanto uma arquitetura bem estruturada promove paralelismo no desenvolvimento, melhor utilização da infraestrutura e capacidade de adaptação às mudanças de negócio (CORRÊA, 2025).</w:t>
      </w:r>
    </w:p>
    <w:p w14:paraId="5275BB24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Historicamente, arquiteturas evoluíram de monólitos executados em mainframes, altamente centralizados e verticalmente escaláveis, para sistemas distribuídos e orientados a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, baseados em escalabilidade horizontal e execução em clusters. Essa evolução se conecta à transição tecnológica: do modelo de computação centralizada em grandes mainframes ao paradigma da computação em nuvem (cloud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computing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), em que soluções como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Proxmox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(plataforma de nuvem privada) e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(orquestrador de containers) são empregadas para oferecer virtualização, orquestração e elasticidade (CORRÊA, 2025). Nesse percurso, princípios de engenharia como SOLID e padrões de projeto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tornaram-se fundamentais para modularidade, desacoplamento e reuso (GAMMA et al., 1995; ANICHE, 2015).</w:t>
      </w:r>
    </w:p>
    <w:p w14:paraId="0999272D" w14:textId="77777777" w:rsidR="009A32CD" w:rsidRPr="009A32CD" w:rsidRDefault="009A32CD" w:rsidP="009A32C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pict w14:anchorId="71AAAC1F">
          <v:rect id="_x0000_i1025" style="width:0;height:1.5pt" o:hralign="center" o:hrstd="t" o:hr="t" fillcolor="#a0a0a0" stroked="f"/>
        </w:pict>
      </w:r>
    </w:p>
    <w:p w14:paraId="5380ADAE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Arquitetura de software e características essenciais</w:t>
      </w:r>
    </w:p>
    <w:p w14:paraId="0A93DF3B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>De acordo com Corrêa (2025), a arquitetura de software define a estrutura macro do sistema, como os componentes se relacionam e quais responsabilidades cabem a cada parte, servindo de base para decisões de evolução ao longo do ciclo de vida.</w:t>
      </w:r>
    </w:p>
    <w:p w14:paraId="65E786F0" w14:textId="77777777" w:rsidR="009A32CD" w:rsidRPr="009A32CD" w:rsidRDefault="009A32CD" w:rsidP="009A32C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Escalabilidade: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capacidade de lidar com o crescimento de carga verticalmente (mais recursos em um nó) ou horizontalmente (</w:t>
      </w:r>
      <w:proofErr w:type="gram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mais</w:t>
      </w:r>
      <w:proofErr w:type="gram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nós/instâncias). Em arquiteturas modernas, a escalabilidade horizontal é preferida por permitir distribuição de carga e isolamento de falhas (CORRÊA, 2025).</w:t>
      </w:r>
    </w:p>
    <w:p w14:paraId="7E30A157" w14:textId="77777777" w:rsidR="009A32CD" w:rsidRPr="009A32CD" w:rsidRDefault="009A32CD" w:rsidP="009A32C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Modularidade: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decomposição em componentes de alta coesão e baixo acoplamento, facilitando entendimento, testes e substituição de partes. Relaciona-se ao princípio da responsabilidade única (Single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Responsibility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Principle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— SRP), que recomenda que um módulo tenha uma responsabilidade única bem definida (ANICHE, 2015).</w:t>
      </w:r>
    </w:p>
    <w:p w14:paraId="2AAA85FC" w14:textId="77777777" w:rsidR="009A32CD" w:rsidRPr="009A32CD" w:rsidRDefault="009A32CD" w:rsidP="009A32C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Manutenibilidade: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facilidade de modificar, estender e corrigir o sistema com risco controlado e custo reduzido. Conecta-se ao princípio aberto/fechado (Open/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Closed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Principle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— OCP), segundo o qual os artefatos devem estar abertos à extensão e fechados à modificação, preservando comportamentos já validados (MARTIN; MARTIN, 2011).</w:t>
      </w:r>
    </w:p>
    <w:p w14:paraId="6AE2E64B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Característica transversal recomendável: tolerância a falhas e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(telemetria, logs, métricas e rastreamento de requisições —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tracing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) para detectar e isolar problemas rapidamente, diminuindo o tempo médio de recuperação (MTTR) e sustentando disponibilidade (CORRÊA, 2025).</w:t>
      </w:r>
    </w:p>
    <w:p w14:paraId="1DA9AB9B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Complementarmente, padrões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aumentam robustez arquitetural: por exemplo, Provedor intermediário (Proxy) para controle de acesso/otimização de chamadas, </w:t>
      </w:r>
      <w:proofErr w:type="gram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e Observador</w:t>
      </w:r>
      <w:proofErr w:type="gram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Observer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) para notificação assíncrona entre componentes com baixo acoplamento (GAMMA et al., 1995; MATOS; BARBOSA, 2016).</w:t>
      </w:r>
    </w:p>
    <w:p w14:paraId="11292391" w14:textId="77777777" w:rsidR="009A32CD" w:rsidRPr="009A32CD" w:rsidRDefault="009A32CD" w:rsidP="009A32C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pict w14:anchorId="3B9A134E">
          <v:rect id="_x0000_i1026" style="width:0;height:1.5pt" o:hralign="center" o:hrstd="t" o:hr="t" fillcolor="#a0a0a0" stroked="f"/>
        </w:pict>
      </w:r>
    </w:p>
    <w:p w14:paraId="72462560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Estilos arquiteturais: do monólito aos </w:t>
      </w:r>
      <w:proofErr w:type="spellStart"/>
      <w:r w:rsidRPr="009A32C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microsserviços</w:t>
      </w:r>
      <w:proofErr w:type="spellEnd"/>
    </w:p>
    <w:p w14:paraId="0814BA75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>A arquitetura monolítica concentra interface, regras de negócio e persistência em um único artefato. A vantagem é a simplicidade de implantação e transações consistentes locais; a desvantagem é a rigidez para escalar partes específicas, exigindo replicar todo o artefato (CORRÊA, 2025).</w:t>
      </w:r>
    </w:p>
    <w:p w14:paraId="1E41C13F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 arquitetura em camadas introduz separação entre apresentação, negócio e dados, favorecendo organização e separação de responsabilidades. Ainda assim, costuma ser implantada como bloco único, herdando limitações de escalabilidade e independência de mudanças do monólito (CORRÊA, 2025).</w:t>
      </w:r>
    </w:p>
    <w:p w14:paraId="5B9F3DD7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Com o aumento de requisitos distribuídos,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decompõem o sistema em serviços independentes por domínio. Ganha-se escalabilidade granular e autonomia de equipes, mas aumenta a complexidade operacional: orquestração, mensageria (troca assíncrona de mensagens),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e desafios de consistência/latência entre serviços (CORRÊA, 2025).</w:t>
      </w:r>
    </w:p>
    <w:p w14:paraId="0714448A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>Entre os extremos, o monólito modular combina simplicidade de implantação com isolamento interno de módulos, útil como etapa intermediária para evitar distribuição prematura quando o domínio ainda não está claro (MARTIN, 2009).</w:t>
      </w:r>
    </w:p>
    <w:p w14:paraId="2F961709" w14:textId="77777777" w:rsidR="009A32CD" w:rsidRPr="009A32CD" w:rsidRDefault="009A32CD" w:rsidP="009A32C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pict w14:anchorId="20E35C7F">
          <v:rect id="_x0000_i1027" style="width:0;height:1.5pt" o:hralign="center" o:hrstd="t" o:hr="t" fillcolor="#a0a0a0" stroked="f"/>
        </w:pict>
      </w:r>
    </w:p>
    <w:p w14:paraId="2BFE70E3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Comparação direta: camadas vs. </w:t>
      </w:r>
      <w:proofErr w:type="spellStart"/>
      <w:r w:rsidRPr="009A32C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microsserviços</w:t>
      </w:r>
      <w:proofErr w:type="spellEnd"/>
    </w:p>
    <w:p w14:paraId="5B3D8C48" w14:textId="77777777" w:rsidR="009A32CD" w:rsidRPr="009A32CD" w:rsidRDefault="009A32CD" w:rsidP="009A32C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Arquitetura em camadas</w:t>
      </w:r>
    </w:p>
    <w:p w14:paraId="633B7B7F" w14:textId="77777777" w:rsidR="009A32CD" w:rsidRPr="009A32CD" w:rsidRDefault="009A32CD" w:rsidP="009A32CD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Vantagem: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clareza de separação lógica e simplicidade operacional/implantação única (CORRÊA, 2025).</w:t>
      </w:r>
    </w:p>
    <w:p w14:paraId="7BFDB311" w14:textId="77777777" w:rsidR="009A32CD" w:rsidRPr="009A32CD" w:rsidRDefault="009A32CD" w:rsidP="009A32CD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Desvantagem: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acoplamento de implantação como bloco único limita escalabilidade independente e cadência de mudanças por módulo (CORRÊA, 2025).</w:t>
      </w:r>
    </w:p>
    <w:p w14:paraId="4ECB7DA6" w14:textId="77777777" w:rsidR="009A32CD" w:rsidRPr="009A32CD" w:rsidRDefault="009A32CD" w:rsidP="009A32C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Arquitetura de </w:t>
      </w:r>
      <w:proofErr w:type="spellStart"/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microsserviços</w:t>
      </w:r>
      <w:proofErr w:type="spellEnd"/>
    </w:p>
    <w:p w14:paraId="6FA0277D" w14:textId="77777777" w:rsidR="009A32CD" w:rsidRPr="009A32CD" w:rsidRDefault="009A32CD" w:rsidP="009A32CD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Vantagem: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escalabilidade granular por domínio, autonomia de equipes e possibilidade de tecnologias distintas por serviço (CORRÊA, 2025).</w:t>
      </w:r>
    </w:p>
    <w:p w14:paraId="6E17CC9C" w14:textId="77777777" w:rsidR="009A32CD" w:rsidRPr="009A32CD" w:rsidRDefault="009A32CD" w:rsidP="009A32CD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Desvantagem: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maior complexidade operacional (orquestração, mensageria,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, versionamento de contratos), além de lidar com consistência distribuída e latências de rede (CORRÊA, 2025).</w:t>
      </w:r>
    </w:p>
    <w:p w14:paraId="22117396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Nota: o monólito modular pode ser um passo intermediário quando a organização ainda está amadurecendo domínio, cultura DevOps e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(MARTIN, 2009).</w:t>
      </w:r>
    </w:p>
    <w:p w14:paraId="128BFF29" w14:textId="77777777" w:rsidR="009A32CD" w:rsidRPr="009A32CD" w:rsidRDefault="009A32CD" w:rsidP="009A32C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pict w14:anchorId="4D6040B7">
          <v:rect id="_x0000_i1028" style="width:0;height:1.5pt" o:hralign="center" o:hrstd="t" o:hr="t" fillcolor="#a0a0a0" stroked="f"/>
        </w:pict>
      </w:r>
    </w:p>
    <w:p w14:paraId="1FC88E2E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Modelos de nuvem e implicações arquiteturais</w:t>
      </w:r>
    </w:p>
    <w:p w14:paraId="6C033CB8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>Além de nuvem privada, é relevante considerar nuvem pública e abordagens híbridas no contexto de implantação de sistemas (CORRÊA, 2025).</w:t>
      </w:r>
    </w:p>
    <w:p w14:paraId="533D6005" w14:textId="77777777" w:rsidR="009A32CD" w:rsidRPr="009A32CD" w:rsidRDefault="009A32CD" w:rsidP="009A32C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Nuvem pública: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recursos de computação, rede e armazenamento fornecidos por provedores externos, com provisionamento sob demanda e presença global.</w:t>
      </w:r>
    </w:p>
    <w:p w14:paraId="74997F59" w14:textId="77777777" w:rsidR="009A32CD" w:rsidRPr="009A32CD" w:rsidRDefault="009A32CD" w:rsidP="009A32CD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Benefícios: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elasticidade rápida (escala sob demanda), ampla oferta de serviços gerenciados (bancos, filas/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streams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, cache, CDN), redução de tempo de entrega e pontos de presença que diminuem latência para usuários em diversas regiões.</w:t>
      </w:r>
    </w:p>
    <w:p w14:paraId="3FB769E0" w14:textId="77777777" w:rsidR="009A32CD" w:rsidRPr="009A32CD" w:rsidRDefault="009A32CD" w:rsidP="009A32CD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Desafios: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gestão de custos variáveis (paga pelo uso), risco de dependência de fornecedor (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lock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-in) e necessidade de configuração rigorosa de segurança e conformidade (responsabilidade compartilhada) (CORRÊA, 2025).</w:t>
      </w:r>
    </w:p>
    <w:p w14:paraId="7A65899E" w14:textId="77777777" w:rsidR="009A32CD" w:rsidRPr="009A32CD" w:rsidRDefault="009A32CD" w:rsidP="009A32C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Nuvem privada: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infraestrutura dedicada, operada pela própria organização ou parceiro, com plataformas como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virtualizadores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como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Proxmox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45D6B09" w14:textId="77777777" w:rsidR="009A32CD" w:rsidRPr="009A32CD" w:rsidRDefault="009A32CD" w:rsidP="009A32CD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Benefícios: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maior controle sobre rede, segurança e dados; adequação a integrações legadas e requisitos específicos de conformidade.</w:t>
      </w:r>
    </w:p>
    <w:p w14:paraId="2EDFFCD5" w14:textId="77777777" w:rsidR="009A32CD" w:rsidRPr="009A32CD" w:rsidRDefault="009A32CD" w:rsidP="009A32CD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Desafios: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capacidade limitada ao hardware disponível, maiores investimentos e esforço operacional para manter elasticidade e serviços de base (CORRÊA, 2025).</w:t>
      </w:r>
    </w:p>
    <w:p w14:paraId="61F33292" w14:textId="77777777" w:rsidR="009A32CD" w:rsidRPr="009A32CD" w:rsidRDefault="009A32CD" w:rsidP="009A32C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Híbrida/</w:t>
      </w:r>
      <w:proofErr w:type="spellStart"/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multinuvem</w:t>
      </w:r>
      <w:proofErr w:type="spellEnd"/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combinação orquestrada de ambientes privados e públicos.</w:t>
      </w:r>
    </w:p>
    <w:p w14:paraId="49E7F7E9" w14:textId="77777777" w:rsidR="009A32CD" w:rsidRPr="009A32CD" w:rsidRDefault="009A32CD" w:rsidP="009A32CD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Benefícios: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flexibilidade para alocar cargas conforme requisitos (custo, latência, sensibilidade dos dados), resiliência a falhas de um único provedor.</w:t>
      </w:r>
    </w:p>
    <w:p w14:paraId="631E7C8F" w14:textId="77777777" w:rsidR="009A32CD" w:rsidRPr="009A32CD" w:rsidRDefault="009A32CD" w:rsidP="009A32CD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Desafios: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aumento de complexidade de operação, governança e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entre ambientes (CORRÊA, 2025).</w:t>
      </w:r>
    </w:p>
    <w:p w14:paraId="239D6EC4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Em termos arquiteturais,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, mensageria e containers favorecem portabilidade entre modelos, mitigando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lock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-in e facilitando picos sazonais, como campanhas de alto tráfego (CORRÊA, 2025).</w:t>
      </w:r>
    </w:p>
    <w:p w14:paraId="69AF0F7F" w14:textId="77777777" w:rsidR="009A32CD" w:rsidRPr="009A32CD" w:rsidRDefault="009A32CD" w:rsidP="009A32C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pict w14:anchorId="009F7863">
          <v:rect id="_x0000_i1029" style="width:0;height:1.5pt" o:hralign="center" o:hrstd="t" o:hr="t" fillcolor="#a0a0a0" stroked="f"/>
        </w:pict>
      </w:r>
    </w:p>
    <w:p w14:paraId="7BF2611C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Tecnologias de suporte: da virtualização à orquestração</w:t>
      </w:r>
    </w:p>
    <w:p w14:paraId="1C84778B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A adoção de estilos arquiteturais requer infraestrutura adequada. Em nuvem privada,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Proxmox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(plataforma de nuvem privada) permitem criação e gestão de máquinas virtuais e redes, enquanto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(orquestrador de containers) orquestra containers, automatizando distribuição, escalonamento e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autorrecuperação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. Docker (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runtime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de containers) fornece o mecanismo para criar e executar containers, encapsulando aplicações e dependências (CORRÊA, 2025). No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, os módulos Nova (computação),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Neutron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(rede),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Cinder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(armazenamento em blocos) e Swift (armazenamento de objetos) compõem a base de serviços para elasticidade, isolamento e persistência (CORRÊA, 2025; MATOS; BARBOSA, 2016).</w:t>
      </w:r>
    </w:p>
    <w:p w14:paraId="20EAD974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>Containers representam virtualização em nível de sistema operacional, compartilhando o kernel e isolando processos/recursos, reduzindo overhead e acelerando provisionamento — úteis para serviços de apoio, aplicações leves e ambientes de teste, especialmente em clusters (CORRÊA, 2025).</w:t>
      </w:r>
    </w:p>
    <w:p w14:paraId="6CA4F554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>Essa pilha tecnológica ilustra a interdependência entre arquitetura de software (estilos e padrões) e arquitetura de sistemas (virtualização, redes e orquestração) para entregar escalabilidade e resiliência (CORRÊA, 2025).</w:t>
      </w:r>
    </w:p>
    <w:p w14:paraId="0F648E94" w14:textId="77777777" w:rsidR="009A32CD" w:rsidRPr="009A32CD" w:rsidRDefault="009A32CD" w:rsidP="009A32C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pict w14:anchorId="00DA2185">
          <v:rect id="_x0000_i1030" style="width:0;height:1.5pt" o:hralign="center" o:hrstd="t" o:hr="t" fillcolor="#a0a0a0" stroked="f"/>
        </w:pict>
      </w:r>
    </w:p>
    <w:p w14:paraId="1FBE8F5F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lastRenderedPageBreak/>
        <w:t>Estudo de caso: e-commerce em larga escala</w:t>
      </w:r>
    </w:p>
    <w:p w14:paraId="6C8EED8D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Para um e-commerce com milhões de usuários simultâneos e alta disponibilidade, a escolha recomendada é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, decompondo o sistema em domínios independentes — catálogo, carrinho, pedidos, pagamentos. Assim, escalam-se apenas os módulos mais demandados e reduzem-se gargalos específicos (CORRÊA, 2025). Mensageria e eventos (processamento assíncrono) desacoplam fluxos críticos, como confirmação de pedido e processamento de pagamento, aumentando resiliência a picos.</w:t>
      </w:r>
    </w:p>
    <w:p w14:paraId="423C2359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Quanto ao modelo de nuvem, a recomendação prática é usar nuvem pública como base — pela elasticidade rápida, serviços gerenciados e presença global — e avaliar cenários híbridos quando houver cargas sensíveis, integrações legadas de baixa latência ou previsibilidade de custo que justifique parte da infraestrutura privada (CORRÊA, 2025). Em ambos os casos, privilegie implantação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multi-região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e redundância entre zonas para reduzir latência e aumentar disponibilidade.</w:t>
      </w:r>
    </w:p>
    <w:p w14:paraId="1824E12E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Na infraestrutura, um cluster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(orquestrador de containers) em nuvem pública ou privada, com esteiras de entrega (CI/CD) e infraestrutura como código (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IaC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), oferece elasticidade e isolamento de falhas, com escalonamento automático e reprogramação de instâncias. Padrões como Provedor intermediário (Proxy) controlam acesso a recursos críticos, e princípios como inversão de dependência (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Dependency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Inversion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Principle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— DIP) evitam dependência direta de detalhes de implementação, facilitando testes e substituições (GAMMA et al., 1995; CAMPOMORI, 2017).</w:t>
      </w:r>
    </w:p>
    <w:p w14:paraId="59DF5F00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>Para sustentar alta disponibilidade, recomenda-se redundância entre zonas (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multi-zona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), verificações automáticas de saúde (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health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checks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) — sondas que removem instâncias com falha do tráfego — e padrões de resiliência, como disjuntor lógico (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circuit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breaker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), que interrompe chamadas para serviços instáveis, e novas tentativas com intervalos crescentes (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retry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com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backoff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), mitigando falhas parciais e intermitências de rede (CORRÊA, 2025).</w:t>
      </w:r>
    </w:p>
    <w:p w14:paraId="694C732A" w14:textId="77777777" w:rsidR="009A32CD" w:rsidRPr="009A32CD" w:rsidRDefault="009A32CD" w:rsidP="009A32C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pict w14:anchorId="4B449D98">
          <v:rect id="_x0000_i1031" style="width:0;height:1.5pt" o:hralign="center" o:hrstd="t" o:hr="t" fillcolor="#a0a0a0" stroked="f"/>
        </w:pict>
      </w:r>
    </w:p>
    <w:p w14:paraId="34EB0F3D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lastRenderedPageBreak/>
        <w:t>Considerações finais</w:t>
      </w:r>
    </w:p>
    <w:p w14:paraId="38B4701A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A evolução das arquiteturas, do monólito aos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, acompanha a transição da computação centralizada para sistemas distribuídos em nuvem. Uma boa arquitetura equilibra simplicidade e capacidade de evolução, apoiando-se em princípios SOLID e padrões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para reduzir acoplamento e aumentar coesão (GAMMA et al., 1995; ANICHE, 2015). Em alta escala,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sobre plataformas de virtualização e orquestração (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e Docker) oferecem base técnica para lidar com milhões de usuários e garantir disponibilidade; e a escolha entre nuvem pública, privada ou híbrida deve considerar elasticidade, custo, controle e conformidade (CORRÊA, 2025). Não há solução universal: a decisão depende do estágio do projeto, maturidade da equipe e requisitos de negócio (MARTIN, 2009).</w:t>
      </w:r>
    </w:p>
    <w:p w14:paraId="7D3D6038" w14:textId="77777777" w:rsidR="009A32CD" w:rsidRPr="009A32CD" w:rsidRDefault="009A32CD" w:rsidP="009A32CD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pict w14:anchorId="225EB0FD">
          <v:rect id="_x0000_i1032" style="width:0;height:1.5pt" o:hralign="center" o:hrstd="t" o:hr="t" fillcolor="#a0a0a0" stroked="f"/>
        </w:pict>
      </w:r>
    </w:p>
    <w:p w14:paraId="36A14F30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Referências</w:t>
      </w:r>
    </w:p>
    <w:p w14:paraId="6567AE3D" w14:textId="77777777" w:rsidR="009A32CD" w:rsidRPr="009A32CD" w:rsidRDefault="009A32CD" w:rsidP="009A3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>ANICHE, Maurício. Orientação a objetos e SOLID para ninjas: projetando classes flexíveis. São Paulo: Casa do Código, 2015.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CAMPOMORI, Cleber. Introdução aos Princípios SOLID. [S. l.], 9 jul. 2017. Disponível em: </w:t>
      </w:r>
      <w:hyperlink r:id="rId5" w:history="1">
        <w:r w:rsidRPr="009A32C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https://www.treinaweb.com.br/blog/introducao-aos-principios-solid/</w:t>
        </w:r>
      </w:hyperlink>
      <w:r w:rsidRPr="009A32CD">
        <w:rPr>
          <w:rFonts w:ascii="Arial" w:eastAsia="Times New Roman" w:hAnsi="Arial" w:cs="Arial"/>
          <w:sz w:val="24"/>
          <w:szCs w:val="24"/>
          <w:lang w:eastAsia="pt-BR"/>
        </w:rPr>
        <w:t>. Acesso em: 30 ago. 2025.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CORRÊA, D. A. Projeto, implementação e teste de software. Florianópolis: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Arqué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, 2025.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GAMMA, Erich et al. Design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patterns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elements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reusable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object-oriented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software. Londres: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Addison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-Wesley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Longman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, 1995.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MARTIN, Robert C. Código limpo: habilidades práticas do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Agile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Software. Rio de Janeiro: Alta Books, 2009.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MARTIN, Robert C.; MARTIN,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Micah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. Princípios, padrões e práticas ágeis em C#. Porto Alegre: Bookman, 2011.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MATOS, Claudio Costa; BARBOSA, Fernando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Kauffmann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. O uso dos padrões de projeto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na análise e desenvolvimento de sistemas. Revista UNILUS Ensino e Pesquisa, v. 13, n. 30, p. 41–53, jan./mar. 2016.</w:t>
      </w:r>
    </w:p>
    <w:p w14:paraId="08EF2836" w14:textId="77777777" w:rsidR="004F610E" w:rsidRPr="009A32CD" w:rsidRDefault="004F610E" w:rsidP="009A32C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F610E" w:rsidRPr="009A32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99470D"/>
    <w:multiLevelType w:val="multilevel"/>
    <w:tmpl w:val="0D0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34B88"/>
    <w:multiLevelType w:val="multilevel"/>
    <w:tmpl w:val="CE2C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21446"/>
    <w:multiLevelType w:val="multilevel"/>
    <w:tmpl w:val="E3D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35"/>
    <w:rsid w:val="004F610E"/>
    <w:rsid w:val="009A32CD"/>
    <w:rsid w:val="00E5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17E462-200E-4B68-A693-795DC8D5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A32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32C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A3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A32CD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9A32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72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einaweb.com.br/blog/introducao-aos-principios-soli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1919</Words>
  <Characters>10366</Characters>
  <Application>Microsoft Office Word</Application>
  <DocSecurity>0</DocSecurity>
  <Lines>86</Lines>
  <Paragraphs>24</Paragraphs>
  <ScaleCrop>false</ScaleCrop>
  <Company/>
  <LinksUpToDate>false</LinksUpToDate>
  <CharactersWithSpaces>12261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2025-08-30T15:49:00Z</dcterms:created>
  <dcterms:modified xsi:type="dcterms:W3CDTF">2025-08-30T15:49:00Z</dcterms:modified>
</cp:coreProperties>
</file>